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6" w:type="dxa"/>
        <w:tblLayout w:type="fixed"/>
        <w:tblLook w:val="0000" w:firstRow="0" w:lastRow="0" w:firstColumn="0" w:lastColumn="0" w:noHBand="0" w:noVBand="0"/>
      </w:tblPr>
      <w:tblGrid>
        <w:gridCol w:w="4608"/>
        <w:gridCol w:w="4608"/>
      </w:tblGrid>
      <w:tr w:rsidR="009C1E09">
        <w:trPr>
          <w:cantSplit/>
          <w:trHeight w:val="1050"/>
        </w:trPr>
        <w:tc>
          <w:tcPr>
            <w:tcW w:w="4608" w:type="dxa"/>
          </w:tcPr>
          <w:p w:rsidR="009C1E09" w:rsidRDefault="00AC2E8D">
            <w:pPr>
              <w:widowControl w:val="0"/>
              <w:spacing w:before="120" w:after="120"/>
              <w:rPr>
                <w:rFonts w:asciiTheme="majorBidi" w:hAnsiTheme="majorBidi" w:cstheme="majorBidi"/>
                <w:snapToGrid w:val="0"/>
                <w:sz w:val="24"/>
                <w:szCs w:val="24"/>
              </w:rPr>
            </w:pPr>
            <w:r>
              <w:rPr>
                <w:rFonts w:asciiTheme="majorBidi" w:hAnsiTheme="majorBidi" w:cstheme="majorBidi"/>
                <w:noProof/>
                <w:sz w:val="24"/>
                <w:szCs w:val="24"/>
                <w:lang w:val="en-CA" w:eastAsia="en-CA"/>
              </w:rPr>
              <w:drawing>
                <wp:inline distT="0" distB="0" distL="0" distR="0">
                  <wp:extent cx="2072640" cy="693420"/>
                  <wp:effectExtent l="0" t="0" r="3810" b="0"/>
                  <wp:docPr id="1" name="Picture 1" descr="Total Energy Service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al Energy Services In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2640" cy="693420"/>
                          </a:xfrm>
                          <a:prstGeom prst="rect">
                            <a:avLst/>
                          </a:prstGeom>
                          <a:noFill/>
                          <a:ln>
                            <a:noFill/>
                          </a:ln>
                        </pic:spPr>
                      </pic:pic>
                    </a:graphicData>
                  </a:graphic>
                </wp:inline>
              </w:drawing>
            </w:r>
          </w:p>
        </w:tc>
        <w:tc>
          <w:tcPr>
            <w:tcW w:w="4608" w:type="dxa"/>
            <w:tcBorders>
              <w:bottom w:val="nil"/>
            </w:tcBorders>
          </w:tcPr>
          <w:p w:rsidR="009C1E09" w:rsidRDefault="00AC2E8D">
            <w:pPr>
              <w:widowControl w:val="0"/>
              <w:spacing w:before="240"/>
              <w:ind w:right="187"/>
              <w:jc w:val="right"/>
              <w:rPr>
                <w:rFonts w:asciiTheme="majorBidi" w:hAnsiTheme="majorBidi" w:cstheme="majorBidi"/>
                <w:snapToGrid w:val="0"/>
                <w:sz w:val="22"/>
                <w:szCs w:val="22"/>
              </w:rPr>
            </w:pPr>
            <w:r>
              <w:rPr>
                <w:rFonts w:asciiTheme="majorBidi" w:hAnsiTheme="majorBidi" w:cstheme="majorBidi"/>
                <w:snapToGrid w:val="0"/>
                <w:sz w:val="22"/>
                <w:szCs w:val="22"/>
              </w:rPr>
              <w:t>2550, 300 – 5</w:t>
            </w:r>
            <w:r>
              <w:rPr>
                <w:rFonts w:asciiTheme="majorBidi" w:hAnsiTheme="majorBidi" w:cstheme="majorBidi"/>
                <w:snapToGrid w:val="0"/>
                <w:sz w:val="22"/>
                <w:szCs w:val="22"/>
                <w:vertAlign w:val="superscript"/>
              </w:rPr>
              <w:t>th</w:t>
            </w:r>
            <w:r>
              <w:rPr>
                <w:rFonts w:asciiTheme="majorBidi" w:hAnsiTheme="majorBidi" w:cstheme="majorBidi"/>
                <w:snapToGrid w:val="0"/>
                <w:sz w:val="22"/>
                <w:szCs w:val="22"/>
              </w:rPr>
              <w:t xml:space="preserve"> Avenue S.W.</w:t>
            </w:r>
            <w:r>
              <w:rPr>
                <w:rFonts w:asciiTheme="majorBidi" w:hAnsiTheme="majorBidi" w:cstheme="majorBidi"/>
                <w:snapToGrid w:val="0"/>
                <w:sz w:val="22"/>
                <w:szCs w:val="22"/>
              </w:rPr>
              <w:br/>
              <w:t>Calgary, Alberta T2P 3C4</w:t>
            </w:r>
            <w:r>
              <w:rPr>
                <w:rFonts w:asciiTheme="majorBidi" w:hAnsiTheme="majorBidi" w:cstheme="majorBidi"/>
                <w:snapToGrid w:val="0"/>
                <w:sz w:val="22"/>
                <w:szCs w:val="22"/>
              </w:rPr>
              <w:br/>
              <w:t>Telephone: (403) 216-3939</w:t>
            </w:r>
            <w:r>
              <w:rPr>
                <w:rFonts w:asciiTheme="majorBidi" w:hAnsiTheme="majorBidi" w:cstheme="majorBidi"/>
                <w:snapToGrid w:val="0"/>
                <w:sz w:val="22"/>
                <w:szCs w:val="22"/>
              </w:rPr>
              <w:br/>
              <w:t>Facsimile: (403) 234-8731</w:t>
            </w:r>
          </w:p>
          <w:p w:rsidR="009C1E09" w:rsidRDefault="00AC2E8D">
            <w:pPr>
              <w:widowControl w:val="0"/>
              <w:spacing w:after="120"/>
              <w:ind w:right="187"/>
              <w:jc w:val="right"/>
              <w:rPr>
                <w:rFonts w:asciiTheme="majorBidi" w:hAnsiTheme="majorBidi" w:cstheme="majorBidi"/>
                <w:snapToGrid w:val="0"/>
                <w:sz w:val="22"/>
                <w:szCs w:val="22"/>
              </w:rPr>
            </w:pPr>
            <w:r>
              <w:rPr>
                <w:rFonts w:asciiTheme="majorBidi" w:hAnsiTheme="majorBidi" w:cstheme="majorBidi"/>
                <w:snapToGrid w:val="0"/>
                <w:sz w:val="22"/>
                <w:szCs w:val="22"/>
              </w:rPr>
              <w:t>Website: www.totalenergy.ca</w:t>
            </w:r>
          </w:p>
        </w:tc>
      </w:tr>
    </w:tbl>
    <w:p w:rsidR="009C1E09" w:rsidRDefault="00AC2E8D">
      <w:pPr>
        <w:pStyle w:val="Heading1"/>
        <w:spacing w:before="240"/>
        <w:rPr>
          <w:rFonts w:asciiTheme="majorBidi" w:hAnsiTheme="majorBidi" w:cstheme="majorBidi"/>
          <w:sz w:val="22"/>
          <w:szCs w:val="22"/>
        </w:rPr>
      </w:pPr>
      <w:r>
        <w:rPr>
          <w:rFonts w:asciiTheme="majorBidi" w:hAnsiTheme="majorBidi" w:cstheme="majorBidi"/>
          <w:sz w:val="22"/>
          <w:szCs w:val="22"/>
        </w:rPr>
        <w:t>News Release</w:t>
      </w:r>
    </w:p>
    <w:p w:rsidR="009C1E09" w:rsidRDefault="00AC2E8D">
      <w:pPr>
        <w:pStyle w:val="Heading3"/>
        <w:spacing w:after="240"/>
        <w:ind w:left="0" w:right="0"/>
        <w:rPr>
          <w:rFonts w:asciiTheme="majorBidi" w:hAnsiTheme="majorBidi" w:cstheme="majorBidi"/>
          <w:sz w:val="22"/>
          <w:szCs w:val="22"/>
        </w:rPr>
      </w:pPr>
      <w:r>
        <w:rPr>
          <w:rFonts w:asciiTheme="majorBidi" w:hAnsiTheme="majorBidi" w:cstheme="majorBidi"/>
          <w:sz w:val="22"/>
          <w:szCs w:val="22"/>
        </w:rPr>
        <w:t>April 7, 2017</w:t>
      </w:r>
    </w:p>
    <w:p w:rsidR="009C1E09" w:rsidRDefault="00AC2E8D">
      <w:pPr>
        <w:spacing w:before="100" w:beforeAutospacing="1" w:after="100" w:afterAutospacing="1"/>
        <w:jc w:val="center"/>
        <w:outlineLvl w:val="1"/>
        <w:rPr>
          <w:rFonts w:asciiTheme="majorBidi" w:hAnsiTheme="majorBidi" w:cstheme="majorBidi"/>
          <w:b/>
          <w:bCs/>
          <w:color w:val="000000"/>
          <w:kern w:val="36"/>
          <w:sz w:val="33"/>
          <w:szCs w:val="33"/>
        </w:rPr>
      </w:pPr>
      <w:bookmarkStart w:id="0" w:name="_GoBack"/>
      <w:r>
        <w:rPr>
          <w:rFonts w:asciiTheme="majorBidi" w:hAnsiTheme="majorBidi" w:cstheme="majorBidi"/>
          <w:b/>
          <w:bCs/>
          <w:color w:val="000000"/>
          <w:kern w:val="36"/>
          <w:sz w:val="33"/>
          <w:szCs w:val="33"/>
        </w:rPr>
        <w:t xml:space="preserve">Total Energy Services </w:t>
      </w:r>
      <w:r>
        <w:rPr>
          <w:rFonts w:asciiTheme="majorBidi" w:hAnsiTheme="majorBidi" w:cstheme="majorBidi"/>
          <w:b/>
          <w:bCs/>
          <w:color w:val="000000"/>
          <w:kern w:val="36"/>
          <w:sz w:val="33"/>
          <w:szCs w:val="33"/>
        </w:rPr>
        <w:t>Inc. Announces Further Take-Up of Savanna Common Shares and Extension of Period for Tender of Additional Savanna Common Shares under its Offer</w:t>
      </w:r>
    </w:p>
    <w:bookmarkEnd w:id="0"/>
    <w:p w:rsidR="009C1E09" w:rsidRDefault="00AC2E8D">
      <w:pPr>
        <w:spacing w:before="240" w:beforeAutospacing="1" w:after="100" w:afterAutospacing="1"/>
        <w:jc w:val="both"/>
        <w:rPr>
          <w:rFonts w:asciiTheme="majorBidi" w:hAnsiTheme="majorBidi" w:cstheme="majorBidi"/>
          <w:color w:val="000000" w:themeColor="text1"/>
          <w:sz w:val="22"/>
          <w:szCs w:val="22"/>
        </w:rPr>
      </w:pPr>
      <w:proofErr w:type="gramStart"/>
      <w:r>
        <w:rPr>
          <w:rFonts w:asciiTheme="majorBidi" w:hAnsiTheme="majorBidi" w:cstheme="majorBidi"/>
          <w:b/>
          <w:bCs/>
          <w:color w:val="000000" w:themeColor="text1"/>
          <w:sz w:val="22"/>
          <w:szCs w:val="22"/>
        </w:rPr>
        <w:t>CALGARY, ALBERTA –</w:t>
      </w:r>
      <w:r>
        <w:rPr>
          <w:rFonts w:asciiTheme="majorBidi" w:hAnsiTheme="majorBidi" w:cstheme="majorBidi"/>
          <w:color w:val="000000" w:themeColor="text1"/>
          <w:sz w:val="22"/>
          <w:szCs w:val="22"/>
        </w:rPr>
        <w:t xml:space="preserve"> Total Energy Services Inc. </w:t>
      </w:r>
      <w:r w:rsidR="00A0592C" w:rsidRPr="00A0592C">
        <w:rPr>
          <w:rFonts w:asciiTheme="majorBidi" w:hAnsiTheme="majorBidi" w:cstheme="majorBidi"/>
          <w:color w:val="000000" w:themeColor="text1"/>
          <w:sz w:val="22"/>
          <w:szCs w:val="22"/>
        </w:rPr>
        <w:t xml:space="preserve">(TSX:TOT) </w:t>
      </w:r>
      <w:r>
        <w:rPr>
          <w:rFonts w:asciiTheme="majorBidi" w:hAnsiTheme="majorBidi" w:cstheme="majorBidi"/>
          <w:color w:val="000000" w:themeColor="text1"/>
          <w:sz w:val="22"/>
          <w:szCs w:val="22"/>
        </w:rPr>
        <w:t>("</w:t>
      </w:r>
      <w:r>
        <w:rPr>
          <w:rFonts w:asciiTheme="majorBidi" w:hAnsiTheme="majorBidi" w:cstheme="majorBidi"/>
          <w:b/>
          <w:bCs/>
          <w:color w:val="000000" w:themeColor="text1"/>
          <w:sz w:val="22"/>
          <w:szCs w:val="22"/>
        </w:rPr>
        <w:t>Total Energy</w:t>
      </w:r>
      <w:r>
        <w:rPr>
          <w:rFonts w:asciiTheme="majorBidi" w:hAnsiTheme="majorBidi" w:cstheme="majorBidi"/>
          <w:color w:val="000000" w:themeColor="text1"/>
          <w:sz w:val="22"/>
          <w:szCs w:val="22"/>
        </w:rPr>
        <w:t>") announced today that 35,641,916 common shares ("</w:t>
      </w:r>
      <w:r>
        <w:rPr>
          <w:rFonts w:asciiTheme="majorBidi" w:hAnsiTheme="majorBidi" w:cstheme="majorBidi"/>
          <w:b/>
          <w:color w:val="000000" w:themeColor="text1"/>
          <w:sz w:val="22"/>
          <w:szCs w:val="22"/>
        </w:rPr>
        <w:t>Savanna Common Shares</w:t>
      </w:r>
      <w:r>
        <w:rPr>
          <w:rFonts w:asciiTheme="majorBidi" w:hAnsiTheme="majorBidi" w:cstheme="majorBidi"/>
          <w:color w:val="000000" w:themeColor="text1"/>
          <w:sz w:val="22"/>
          <w:szCs w:val="22"/>
        </w:rPr>
        <w:t>") of Savanna Energy Services Corp. ("</w:t>
      </w:r>
      <w:r>
        <w:rPr>
          <w:rFonts w:asciiTheme="majorBidi" w:hAnsiTheme="majorBidi" w:cstheme="majorBidi"/>
          <w:b/>
          <w:bCs/>
          <w:color w:val="000000" w:themeColor="text1"/>
          <w:sz w:val="22"/>
          <w:szCs w:val="22"/>
        </w:rPr>
        <w:t>Savanna</w:t>
      </w:r>
      <w:r>
        <w:rPr>
          <w:rFonts w:asciiTheme="majorBidi" w:hAnsiTheme="majorBidi" w:cstheme="majorBidi"/>
          <w:color w:val="000000" w:themeColor="text1"/>
          <w:sz w:val="22"/>
          <w:szCs w:val="22"/>
        </w:rPr>
        <w:t>") were validly tendered (and not withdrawn) under its offer (the "</w:t>
      </w:r>
      <w:r>
        <w:rPr>
          <w:rFonts w:asciiTheme="majorBidi" w:hAnsiTheme="majorBidi" w:cstheme="majorBidi"/>
          <w:b/>
          <w:bCs/>
          <w:color w:val="000000" w:themeColor="text1"/>
          <w:sz w:val="22"/>
          <w:szCs w:val="22"/>
        </w:rPr>
        <w:t>Offer</w:t>
      </w:r>
      <w:r>
        <w:rPr>
          <w:rFonts w:asciiTheme="majorBidi" w:hAnsiTheme="majorBidi" w:cstheme="majorBidi"/>
          <w:color w:val="000000" w:themeColor="text1"/>
          <w:sz w:val="22"/>
          <w:szCs w:val="22"/>
        </w:rPr>
        <w:t>") to purchase outstanding Savanna Common Shares</w:t>
      </w:r>
      <w:r>
        <w:rPr>
          <w:rFonts w:asciiTheme="majorBidi" w:hAnsiTheme="majorBidi" w:cstheme="majorBidi"/>
          <w:color w:val="000000"/>
          <w:sz w:val="22"/>
          <w:szCs w:val="22"/>
        </w:rPr>
        <w:t xml:space="preserve"> after the expiration </w:t>
      </w:r>
      <w:r>
        <w:rPr>
          <w:rFonts w:asciiTheme="majorBidi" w:hAnsiTheme="majorBidi" w:cstheme="majorBidi"/>
          <w:color w:val="000000" w:themeColor="text1"/>
          <w:sz w:val="22"/>
          <w:szCs w:val="22"/>
        </w:rPr>
        <w:t xml:space="preserve">of the initial deposit period for the Offer (at </w:t>
      </w:r>
      <w:r>
        <w:rPr>
          <w:rFonts w:asciiTheme="majorBidi" w:hAnsiTheme="majorBidi" w:cstheme="majorBidi"/>
          <w:color w:val="000000" w:themeColor="text1"/>
          <w:sz w:val="22"/>
          <w:szCs w:val="22"/>
        </w:rPr>
        <w:t>11:59 p.m. (Pacific Time) on March 24, 2017) and prior to the expiration of the first extension of the Offer (at 12:00 p.m. (Pacific Time) on April 7, 2017).</w:t>
      </w:r>
      <w:proofErr w:type="gramEnd"/>
      <w:r>
        <w:rPr>
          <w:rFonts w:asciiTheme="majorBidi" w:hAnsiTheme="majorBidi" w:cstheme="majorBidi"/>
          <w:color w:val="000000" w:themeColor="text1"/>
          <w:sz w:val="22"/>
          <w:szCs w:val="22"/>
        </w:rPr>
        <w:t xml:space="preserve"> Those recently deposited Savanna Common Shares represent approximately </w:t>
      </w:r>
      <w:r>
        <w:rPr>
          <w:rFonts w:asciiTheme="majorBidi" w:hAnsiTheme="majorBidi" w:cstheme="majorBidi"/>
          <w:bCs/>
          <w:color w:val="000000" w:themeColor="text1"/>
          <w:sz w:val="22"/>
          <w:szCs w:val="22"/>
        </w:rPr>
        <w:t>30.1</w:t>
      </w:r>
      <w:r>
        <w:rPr>
          <w:rFonts w:asciiTheme="majorBidi" w:hAnsiTheme="majorBidi" w:cstheme="majorBidi"/>
          <w:color w:val="000000" w:themeColor="text1"/>
          <w:sz w:val="22"/>
          <w:szCs w:val="22"/>
        </w:rPr>
        <w:t>% of the total number o</w:t>
      </w:r>
      <w:r>
        <w:rPr>
          <w:rFonts w:asciiTheme="majorBidi" w:hAnsiTheme="majorBidi" w:cstheme="majorBidi"/>
          <w:color w:val="000000" w:themeColor="text1"/>
          <w:sz w:val="22"/>
          <w:szCs w:val="22"/>
        </w:rPr>
        <w:t>f outstanding Savanna Common Shares.</w:t>
      </w:r>
    </w:p>
    <w:p w:rsidR="009C1E09" w:rsidRDefault="00AC2E8D">
      <w:pPr>
        <w:spacing w:before="240" w:beforeAutospacing="1" w:after="100" w:afterAutospacing="1"/>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Total Energy has taken-up the 35,641,916 additional Savanna Common Shares deposited under the Offer (the "</w:t>
      </w:r>
      <w:r>
        <w:rPr>
          <w:rFonts w:asciiTheme="majorBidi" w:hAnsiTheme="majorBidi" w:cstheme="majorBidi"/>
          <w:b/>
          <w:bCs/>
          <w:color w:val="000000" w:themeColor="text1"/>
          <w:sz w:val="22"/>
          <w:szCs w:val="22"/>
        </w:rPr>
        <w:t>Subsequent Take-Up</w:t>
      </w:r>
      <w:r>
        <w:rPr>
          <w:rFonts w:asciiTheme="majorBidi" w:hAnsiTheme="majorBidi" w:cstheme="majorBidi"/>
          <w:color w:val="000000" w:themeColor="text1"/>
          <w:sz w:val="22"/>
          <w:szCs w:val="22"/>
        </w:rPr>
        <w:t xml:space="preserve">"). </w:t>
      </w:r>
      <w:r>
        <w:rPr>
          <w:rFonts w:asciiTheme="majorBidi" w:hAnsiTheme="majorBidi" w:cstheme="majorBidi"/>
          <w:color w:val="000000"/>
          <w:sz w:val="22"/>
          <w:szCs w:val="22"/>
        </w:rPr>
        <w:t xml:space="preserve">In accordance with </w:t>
      </w:r>
      <w:r>
        <w:rPr>
          <w:rFonts w:asciiTheme="majorBidi" w:hAnsiTheme="majorBidi" w:cstheme="majorBidi"/>
          <w:color w:val="000000" w:themeColor="text1"/>
          <w:sz w:val="22"/>
          <w:szCs w:val="22"/>
        </w:rPr>
        <w:t>the terms of the Offer, Total Energy has provided Computershare Investor</w:t>
      </w:r>
      <w:r>
        <w:rPr>
          <w:rFonts w:asciiTheme="majorBidi" w:hAnsiTheme="majorBidi" w:cstheme="majorBidi"/>
          <w:color w:val="000000" w:themeColor="text1"/>
          <w:sz w:val="22"/>
          <w:szCs w:val="22"/>
        </w:rPr>
        <w:t xml:space="preserve"> Services Inc. (the "</w:t>
      </w:r>
      <w:r>
        <w:rPr>
          <w:rFonts w:asciiTheme="majorBidi" w:hAnsiTheme="majorBidi" w:cstheme="majorBidi"/>
          <w:b/>
          <w:bCs/>
          <w:color w:val="000000" w:themeColor="text1"/>
          <w:sz w:val="22"/>
          <w:szCs w:val="22"/>
        </w:rPr>
        <w:t>Depositary</w:t>
      </w:r>
      <w:r>
        <w:rPr>
          <w:rFonts w:asciiTheme="majorBidi" w:hAnsiTheme="majorBidi" w:cstheme="majorBidi"/>
          <w:color w:val="000000" w:themeColor="text1"/>
          <w:sz w:val="22"/>
          <w:szCs w:val="22"/>
        </w:rPr>
        <w:t xml:space="preserve">") with </w:t>
      </w:r>
      <w:r>
        <w:rPr>
          <w:rFonts w:asciiTheme="majorBidi" w:hAnsiTheme="majorBidi" w:cstheme="majorBidi"/>
          <w:bCs/>
          <w:color w:val="000000" w:themeColor="text1"/>
          <w:sz w:val="22"/>
          <w:szCs w:val="22"/>
        </w:rPr>
        <w:t>4,633,449</w:t>
      </w:r>
      <w:r>
        <w:rPr>
          <w:rFonts w:asciiTheme="majorBidi" w:hAnsiTheme="majorBidi" w:cstheme="majorBidi"/>
          <w:color w:val="000000" w:themeColor="text1"/>
          <w:sz w:val="22"/>
          <w:szCs w:val="22"/>
        </w:rPr>
        <w:t xml:space="preserve"> common shares of Total Energy (the "</w:t>
      </w:r>
      <w:r>
        <w:rPr>
          <w:rFonts w:asciiTheme="majorBidi" w:hAnsiTheme="majorBidi" w:cstheme="majorBidi"/>
          <w:b/>
          <w:color w:val="000000" w:themeColor="text1"/>
          <w:sz w:val="22"/>
          <w:szCs w:val="22"/>
        </w:rPr>
        <w:t>Total Common Shares</w:t>
      </w:r>
      <w:r>
        <w:rPr>
          <w:rFonts w:asciiTheme="majorBidi" w:hAnsiTheme="majorBidi" w:cstheme="majorBidi"/>
          <w:color w:val="000000" w:themeColor="text1"/>
          <w:sz w:val="22"/>
          <w:szCs w:val="22"/>
        </w:rPr>
        <w:t xml:space="preserve">"), representing the share consideration payable by Total Energy for the additional Savanna Common Shares taken up by it today. The cash portion of the </w:t>
      </w:r>
      <w:r>
        <w:rPr>
          <w:rFonts w:asciiTheme="majorBidi" w:hAnsiTheme="majorBidi" w:cstheme="majorBidi"/>
          <w:color w:val="000000" w:themeColor="text1"/>
          <w:sz w:val="22"/>
          <w:szCs w:val="22"/>
        </w:rPr>
        <w:t xml:space="preserve">consideration payable by Total Energy is expected to be provided to the Depository on April 10, 2017, </w:t>
      </w:r>
      <w:r>
        <w:rPr>
          <w:rFonts w:asciiTheme="majorBidi" w:hAnsiTheme="majorBidi" w:cstheme="majorBidi"/>
          <w:color w:val="000000"/>
          <w:sz w:val="22"/>
          <w:szCs w:val="22"/>
        </w:rPr>
        <w:t xml:space="preserve">so as </w:t>
      </w:r>
      <w:r>
        <w:rPr>
          <w:rFonts w:asciiTheme="majorBidi" w:hAnsiTheme="majorBidi" w:cstheme="majorBidi"/>
          <w:color w:val="000000" w:themeColor="text1"/>
          <w:sz w:val="22"/>
          <w:szCs w:val="22"/>
        </w:rPr>
        <w:t xml:space="preserve">to enable the Depository to promptly effect settlement with the Savanna shareholders </w:t>
      </w:r>
      <w:proofErr w:type="gramStart"/>
      <w:r>
        <w:rPr>
          <w:rFonts w:asciiTheme="majorBidi" w:hAnsiTheme="majorBidi" w:cstheme="majorBidi"/>
          <w:color w:val="000000" w:themeColor="text1"/>
          <w:sz w:val="22"/>
          <w:szCs w:val="22"/>
        </w:rPr>
        <w:t>whose</w:t>
      </w:r>
      <w:proofErr w:type="gramEnd"/>
      <w:r>
        <w:rPr>
          <w:rFonts w:asciiTheme="majorBidi" w:hAnsiTheme="majorBidi" w:cstheme="majorBidi"/>
          <w:color w:val="000000" w:themeColor="text1"/>
          <w:sz w:val="22"/>
          <w:szCs w:val="22"/>
        </w:rPr>
        <w:t xml:space="preserve"> Savanna Common Shares were taken up by Total Energy today</w:t>
      </w:r>
      <w:r>
        <w:rPr>
          <w:rFonts w:asciiTheme="majorBidi" w:hAnsiTheme="majorBidi" w:cstheme="majorBidi"/>
          <w:color w:val="000000" w:themeColor="text1"/>
          <w:sz w:val="22"/>
          <w:szCs w:val="22"/>
        </w:rPr>
        <w:t>.</w:t>
      </w:r>
    </w:p>
    <w:p w:rsidR="009C1E09" w:rsidRDefault="00AC2E8D">
      <w:pPr>
        <w:spacing w:before="240" w:beforeAutospacing="1" w:after="100" w:afterAutospacing="1"/>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Total Energy </w:t>
      </w:r>
      <w:r>
        <w:rPr>
          <w:rFonts w:asciiTheme="majorBidi" w:hAnsiTheme="majorBidi" w:cstheme="majorBidi"/>
          <w:color w:val="000000"/>
          <w:sz w:val="22"/>
          <w:szCs w:val="22"/>
        </w:rPr>
        <w:t xml:space="preserve">previously </w:t>
      </w:r>
      <w:r>
        <w:rPr>
          <w:rFonts w:asciiTheme="majorBidi" w:hAnsiTheme="majorBidi" w:cstheme="majorBidi"/>
          <w:color w:val="000000" w:themeColor="text1"/>
          <w:sz w:val="22"/>
          <w:szCs w:val="22"/>
        </w:rPr>
        <w:t xml:space="preserve">acquired </w:t>
      </w:r>
      <w:r>
        <w:rPr>
          <w:rFonts w:asciiTheme="majorBidi" w:hAnsiTheme="majorBidi" w:cstheme="majorBidi"/>
          <w:bCs/>
          <w:color w:val="000000" w:themeColor="text1"/>
          <w:sz w:val="22"/>
          <w:szCs w:val="22"/>
        </w:rPr>
        <w:t>60,952,797</w:t>
      </w:r>
      <w:r>
        <w:rPr>
          <w:rFonts w:asciiTheme="majorBidi" w:hAnsiTheme="majorBidi" w:cstheme="majorBidi"/>
          <w:color w:val="000000" w:themeColor="text1"/>
          <w:sz w:val="22"/>
          <w:szCs w:val="22"/>
        </w:rPr>
        <w:t xml:space="preserve"> Savanna Common Shares under the Offer, representing approximately 51.6% </w:t>
      </w:r>
      <w:r>
        <w:rPr>
          <w:rFonts w:asciiTheme="majorBidi" w:hAnsiTheme="majorBidi" w:cstheme="majorBidi"/>
          <w:color w:val="000000"/>
          <w:sz w:val="22"/>
          <w:szCs w:val="22"/>
        </w:rPr>
        <w:t xml:space="preserve">of the </w:t>
      </w:r>
      <w:r>
        <w:rPr>
          <w:rFonts w:asciiTheme="majorBidi" w:hAnsiTheme="majorBidi" w:cstheme="majorBidi"/>
          <w:color w:val="000000" w:themeColor="text1"/>
          <w:sz w:val="22"/>
          <w:szCs w:val="22"/>
        </w:rPr>
        <w:t>total number of outstanding Savanna Common Shares, and, after giving effect to the Subsequent Take-Up, has now taken-up an aggregat</w:t>
      </w:r>
      <w:r>
        <w:rPr>
          <w:rFonts w:asciiTheme="majorBidi" w:hAnsiTheme="majorBidi" w:cstheme="majorBidi"/>
          <w:color w:val="000000" w:themeColor="text1"/>
          <w:sz w:val="22"/>
          <w:szCs w:val="22"/>
        </w:rPr>
        <w:t xml:space="preserve">e of 96,594,713 Savanna Common Shares, representing 81.7% of the total number of outstanding Savanna Common Shares. In addition, Total Energy has acquired an aggregate of 1,355,000 Savanna Common Shares in market transactions since the commencement of the </w:t>
      </w:r>
      <w:r>
        <w:rPr>
          <w:rFonts w:asciiTheme="majorBidi" w:hAnsiTheme="majorBidi" w:cstheme="majorBidi"/>
          <w:color w:val="000000" w:themeColor="text1"/>
          <w:sz w:val="22"/>
          <w:szCs w:val="22"/>
        </w:rPr>
        <w:t>Offer.</w:t>
      </w:r>
    </w:p>
    <w:p w:rsidR="009C1E09" w:rsidRDefault="00AC2E8D">
      <w:pPr>
        <w:spacing w:before="100" w:beforeAutospacing="1" w:after="100" w:afterAutospacing="1"/>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Non-Canadian Savanna shareholders who reside in certain U.S. states</w:t>
      </w:r>
      <w:r>
        <w:rPr>
          <w:rStyle w:val="FootnoteReference"/>
          <w:rFonts w:asciiTheme="majorBidi" w:hAnsiTheme="majorBidi" w:cstheme="majorBidi"/>
          <w:color w:val="000000" w:themeColor="text1"/>
          <w:sz w:val="22"/>
          <w:szCs w:val="22"/>
        </w:rPr>
        <w:footnoteReference w:id="1"/>
      </w:r>
      <w:r>
        <w:rPr>
          <w:rFonts w:asciiTheme="majorBidi" w:hAnsiTheme="majorBidi" w:cstheme="majorBidi"/>
          <w:color w:val="000000" w:themeColor="text1"/>
          <w:sz w:val="22"/>
          <w:szCs w:val="22"/>
        </w:rPr>
        <w:t xml:space="preserve"> or in Puerto Rico and who are not "exempt institutional investors" under the laws of their jurisdiction of residence ("</w:t>
      </w:r>
      <w:r>
        <w:rPr>
          <w:rFonts w:asciiTheme="majorBidi" w:hAnsiTheme="majorBidi" w:cstheme="majorBidi"/>
          <w:b/>
          <w:bCs/>
          <w:color w:val="000000" w:themeColor="text1"/>
          <w:sz w:val="22"/>
          <w:szCs w:val="22"/>
        </w:rPr>
        <w:t>Non-Exempt Shareholders</w:t>
      </w:r>
      <w:r>
        <w:rPr>
          <w:rFonts w:asciiTheme="majorBidi" w:hAnsiTheme="majorBidi" w:cstheme="majorBidi"/>
          <w:color w:val="000000" w:themeColor="text1"/>
          <w:sz w:val="22"/>
          <w:szCs w:val="22"/>
        </w:rPr>
        <w:t>") may not receive Total Common Shares</w:t>
      </w:r>
      <w:r>
        <w:rPr>
          <w:rFonts w:asciiTheme="majorBidi" w:hAnsiTheme="majorBidi" w:cstheme="majorBidi"/>
          <w:color w:val="000000" w:themeColor="text1"/>
          <w:sz w:val="22"/>
          <w:szCs w:val="22"/>
        </w:rPr>
        <w:t xml:space="preserve"> as partial consideration for the Savanna Common Shares tendered by them to the Offer. Arrangements </w:t>
      </w:r>
      <w:proofErr w:type="gramStart"/>
      <w:r>
        <w:rPr>
          <w:rFonts w:asciiTheme="majorBidi" w:hAnsiTheme="majorBidi" w:cstheme="majorBidi"/>
          <w:color w:val="000000" w:themeColor="text1"/>
          <w:sz w:val="22"/>
          <w:szCs w:val="22"/>
        </w:rPr>
        <w:t>have been made</w:t>
      </w:r>
      <w:proofErr w:type="gramEnd"/>
      <w:r>
        <w:rPr>
          <w:rFonts w:asciiTheme="majorBidi" w:hAnsiTheme="majorBidi" w:cstheme="majorBidi"/>
          <w:color w:val="000000" w:themeColor="text1"/>
          <w:sz w:val="22"/>
          <w:szCs w:val="22"/>
        </w:rPr>
        <w:t xml:space="preserve"> for the Depositary, as agent for the Non-Exempt Shareholders, to sell, or cause to be sold (through a broker in Canada and on the Toronto Sto</w:t>
      </w:r>
      <w:r>
        <w:rPr>
          <w:rFonts w:asciiTheme="majorBidi" w:hAnsiTheme="majorBidi" w:cstheme="majorBidi"/>
          <w:color w:val="000000" w:themeColor="text1"/>
          <w:sz w:val="22"/>
          <w:szCs w:val="22"/>
        </w:rPr>
        <w:t>ck Exchange) the Total Common Shares that would otherwise be issuable to such Non-Exempt Shareholders. After completion of those sales, the Depositary will distribute the aggregate net proceeds of sale, after expenses, commissions and applicable withholdin</w:t>
      </w:r>
      <w:r>
        <w:rPr>
          <w:rFonts w:asciiTheme="majorBidi" w:hAnsiTheme="majorBidi" w:cstheme="majorBidi"/>
          <w:color w:val="000000" w:themeColor="text1"/>
          <w:sz w:val="22"/>
          <w:szCs w:val="22"/>
        </w:rPr>
        <w:t xml:space="preserve">g taxes, </w:t>
      </w:r>
      <w:r>
        <w:rPr>
          <w:rFonts w:asciiTheme="majorBidi" w:hAnsiTheme="majorBidi" w:cstheme="majorBidi"/>
          <w:i/>
          <w:iCs/>
          <w:color w:val="000000" w:themeColor="text1"/>
          <w:sz w:val="22"/>
          <w:szCs w:val="22"/>
        </w:rPr>
        <w:t>pro rata</w:t>
      </w:r>
      <w:r>
        <w:rPr>
          <w:rFonts w:asciiTheme="majorBidi" w:hAnsiTheme="majorBidi" w:cstheme="majorBidi"/>
          <w:color w:val="000000" w:themeColor="text1"/>
          <w:sz w:val="22"/>
          <w:szCs w:val="22"/>
        </w:rPr>
        <w:t xml:space="preserve">, among the Non-Exempt Shareholders. </w:t>
      </w:r>
      <w:proofErr w:type="gramStart"/>
      <w:r>
        <w:rPr>
          <w:rFonts w:asciiTheme="majorBidi" w:hAnsiTheme="majorBidi" w:cstheme="majorBidi"/>
          <w:color w:val="000000" w:themeColor="text1"/>
          <w:sz w:val="22"/>
          <w:szCs w:val="22"/>
        </w:rPr>
        <w:t xml:space="preserve">Any sales of Total Common Shares on behalf </w:t>
      </w:r>
      <w:r>
        <w:rPr>
          <w:rFonts w:asciiTheme="majorBidi" w:hAnsiTheme="majorBidi" w:cstheme="majorBidi"/>
          <w:color w:val="000000" w:themeColor="text1"/>
          <w:sz w:val="22"/>
          <w:szCs w:val="22"/>
        </w:rPr>
        <w:lastRenderedPageBreak/>
        <w:t>of Non-Exempt Shareholders will be completed as soon as practicable after the date on which Total Energy pays for the Savanna Common Shares of the Non-Exempt S</w:t>
      </w:r>
      <w:r>
        <w:rPr>
          <w:rFonts w:asciiTheme="majorBidi" w:hAnsiTheme="majorBidi" w:cstheme="majorBidi"/>
          <w:color w:val="000000" w:themeColor="text1"/>
          <w:sz w:val="22"/>
          <w:szCs w:val="22"/>
        </w:rPr>
        <w:t>hareholders under the Offer and will be done in a manner intended to maximize consideration to be received from the sale of Total Common Shares and to minimize any adverse impact of the sale on the market for the Total Common Shares.</w:t>
      </w:r>
      <w:proofErr w:type="gramEnd"/>
      <w:r>
        <w:rPr>
          <w:rFonts w:asciiTheme="majorBidi" w:hAnsiTheme="majorBidi" w:cstheme="majorBidi"/>
          <w:color w:val="000000" w:themeColor="text1"/>
          <w:sz w:val="22"/>
          <w:szCs w:val="22"/>
        </w:rPr>
        <w:t xml:space="preserve"> </w:t>
      </w:r>
    </w:p>
    <w:p w:rsidR="009C1E09" w:rsidRDefault="00AC2E8D">
      <w:pPr>
        <w:spacing w:before="100" w:beforeAutospacing="1" w:after="100" w:afterAutospacing="1"/>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Total Energy also ann</w:t>
      </w:r>
      <w:r>
        <w:rPr>
          <w:rFonts w:asciiTheme="majorBidi" w:hAnsiTheme="majorBidi" w:cstheme="majorBidi"/>
          <w:color w:val="000000" w:themeColor="text1"/>
          <w:sz w:val="22"/>
          <w:szCs w:val="22"/>
        </w:rPr>
        <w:t xml:space="preserve">ounced that it has extended the period for the tender of additional Savanna Common Shares under its Offer to 12:00 p.m. on April </w:t>
      </w:r>
      <w:r>
        <w:rPr>
          <w:rFonts w:asciiTheme="majorBidi" w:hAnsiTheme="majorBidi" w:cstheme="majorBidi"/>
          <w:bCs/>
          <w:color w:val="000000" w:themeColor="text1"/>
          <w:sz w:val="22"/>
          <w:szCs w:val="22"/>
        </w:rPr>
        <w:t>27</w:t>
      </w:r>
      <w:r>
        <w:rPr>
          <w:rFonts w:asciiTheme="majorBidi" w:hAnsiTheme="majorBidi" w:cstheme="majorBidi"/>
          <w:color w:val="000000" w:themeColor="text1"/>
          <w:sz w:val="22"/>
          <w:szCs w:val="22"/>
        </w:rPr>
        <w:t xml:space="preserve">, 2017. Total Energy provided notice of the extension to the Depositary effective 12:00 p.m. (Pacific Time) on Friday, April </w:t>
      </w:r>
      <w:r>
        <w:rPr>
          <w:rFonts w:asciiTheme="majorBidi" w:hAnsiTheme="majorBidi" w:cstheme="majorBidi"/>
          <w:color w:val="000000" w:themeColor="text1"/>
          <w:sz w:val="22"/>
          <w:szCs w:val="22"/>
        </w:rPr>
        <w:t>7, 2017.</w:t>
      </w:r>
    </w:p>
    <w:tbl>
      <w:tblPr>
        <w:tblStyle w:val="TableGrid"/>
        <w:tblW w:w="0" w:type="auto"/>
        <w:tblLook w:val="04A0" w:firstRow="1" w:lastRow="0" w:firstColumn="1" w:lastColumn="0" w:noHBand="0" w:noVBand="1"/>
      </w:tblPr>
      <w:tblGrid>
        <w:gridCol w:w="8774"/>
      </w:tblGrid>
      <w:tr w:rsidR="009C1E09">
        <w:tc>
          <w:tcPr>
            <w:tcW w:w="9000" w:type="dxa"/>
          </w:tcPr>
          <w:p w:rsidR="009C1E09" w:rsidRDefault="00AC2E8D">
            <w:pPr>
              <w:pStyle w:val="BodyText"/>
              <w:jc w:val="center"/>
              <w:rPr>
                <w:rFonts w:asciiTheme="majorBidi" w:hAnsiTheme="majorBidi" w:cstheme="majorBidi"/>
                <w:b/>
                <w:bCs/>
                <w:sz w:val="22"/>
                <w:szCs w:val="22"/>
              </w:rPr>
            </w:pPr>
            <w:r>
              <w:rPr>
                <w:rFonts w:asciiTheme="majorBidi" w:hAnsiTheme="majorBidi" w:cstheme="majorBidi"/>
                <w:b/>
                <w:bCs/>
                <w:sz w:val="22"/>
                <w:szCs w:val="22"/>
              </w:rPr>
              <w:t xml:space="preserve">THE OFFER </w:t>
            </w:r>
            <w:proofErr w:type="gramStart"/>
            <w:r>
              <w:rPr>
                <w:rFonts w:asciiTheme="majorBidi" w:hAnsiTheme="majorBidi" w:cstheme="majorBidi"/>
                <w:b/>
                <w:bCs/>
                <w:sz w:val="22"/>
                <w:szCs w:val="22"/>
              </w:rPr>
              <w:t>HAS BEEN FURTHER EXTENDED</w:t>
            </w:r>
            <w:proofErr w:type="gramEnd"/>
            <w:r>
              <w:rPr>
                <w:rFonts w:asciiTheme="majorBidi" w:hAnsiTheme="majorBidi" w:cstheme="majorBidi"/>
                <w:b/>
                <w:bCs/>
                <w:sz w:val="22"/>
                <w:szCs w:val="22"/>
              </w:rPr>
              <w:t xml:space="preserve"> AND IS NOW OPEN FOR ACCEPTANCE UNTIL 12:00 P.M. (PACIFIC TIME) ON APRIL 27, 2017 UNLESS THE OFFER IS FURTHER EXTENDED BY TOTAL.</w:t>
            </w:r>
          </w:p>
        </w:tc>
      </w:tr>
    </w:tbl>
    <w:p w:rsidR="009C1E09" w:rsidRDefault="00AC2E8D">
      <w:pPr>
        <w:spacing w:before="240" w:beforeAutospacing="1" w:after="100" w:afterAutospacing="1"/>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Full details of the extension of the period during which additional Savanna Common</w:t>
      </w:r>
      <w:r>
        <w:rPr>
          <w:rFonts w:asciiTheme="majorBidi" w:hAnsiTheme="majorBidi" w:cstheme="majorBidi"/>
          <w:color w:val="000000" w:themeColor="text1"/>
          <w:sz w:val="22"/>
          <w:szCs w:val="22"/>
        </w:rPr>
        <w:t xml:space="preserve"> Shares may be tendered under the Offer will be included in a notice of extension (the "</w:t>
      </w:r>
      <w:r>
        <w:rPr>
          <w:rFonts w:asciiTheme="majorBidi" w:hAnsiTheme="majorBidi" w:cstheme="majorBidi"/>
          <w:b/>
          <w:bCs/>
          <w:color w:val="000000" w:themeColor="text1"/>
          <w:sz w:val="22"/>
          <w:szCs w:val="22"/>
        </w:rPr>
        <w:t>Second</w:t>
      </w:r>
      <w:r>
        <w:rPr>
          <w:rFonts w:asciiTheme="majorBidi" w:hAnsiTheme="majorBidi" w:cstheme="majorBidi"/>
          <w:color w:val="000000" w:themeColor="text1"/>
          <w:sz w:val="22"/>
          <w:szCs w:val="22"/>
        </w:rPr>
        <w:t xml:space="preserve"> </w:t>
      </w:r>
      <w:r>
        <w:rPr>
          <w:rFonts w:asciiTheme="majorBidi" w:hAnsiTheme="majorBidi" w:cstheme="majorBidi"/>
          <w:b/>
          <w:bCs/>
          <w:color w:val="000000" w:themeColor="text1"/>
          <w:sz w:val="22"/>
          <w:szCs w:val="22"/>
        </w:rPr>
        <w:t>Notice of Extension</w:t>
      </w:r>
      <w:r>
        <w:rPr>
          <w:rFonts w:asciiTheme="majorBidi" w:hAnsiTheme="majorBidi" w:cstheme="majorBidi"/>
          <w:color w:val="000000" w:themeColor="text1"/>
          <w:sz w:val="22"/>
          <w:szCs w:val="22"/>
        </w:rPr>
        <w:t>"), which Total Energy expects to file on</w:t>
      </w:r>
      <w:r>
        <w:rPr>
          <w:rFonts w:ascii="TimesNewRoman" w:hAnsi="TimesNewRoman" w:cs="TimesNewRoman"/>
          <w:sz w:val="22"/>
          <w:szCs w:val="22"/>
        </w:rPr>
        <w:t xml:space="preserve"> SEDAR (under Savanna's profile), at www.sedar.com,</w:t>
      </w:r>
      <w:r>
        <w:rPr>
          <w:b/>
          <w:bCs/>
          <w:sz w:val="22"/>
          <w:szCs w:val="22"/>
        </w:rPr>
        <w:t xml:space="preserve"> </w:t>
      </w:r>
      <w:r>
        <w:rPr>
          <w:sz w:val="22"/>
          <w:szCs w:val="22"/>
        </w:rPr>
        <w:t xml:space="preserve">and </w:t>
      </w:r>
      <w:r>
        <w:rPr>
          <w:rFonts w:asciiTheme="majorBidi" w:hAnsiTheme="majorBidi" w:cstheme="majorBidi"/>
          <w:color w:val="000000" w:themeColor="text1"/>
          <w:sz w:val="22"/>
          <w:szCs w:val="22"/>
        </w:rPr>
        <w:t xml:space="preserve">mail to registered </w:t>
      </w:r>
      <w:proofErr w:type="spellStart"/>
      <w:r>
        <w:rPr>
          <w:rFonts w:asciiTheme="majorBidi" w:hAnsiTheme="majorBidi" w:cstheme="majorBidi"/>
          <w:color w:val="000000" w:themeColor="text1"/>
          <w:sz w:val="22"/>
          <w:szCs w:val="22"/>
        </w:rPr>
        <w:t>securityholders</w:t>
      </w:r>
      <w:proofErr w:type="spellEnd"/>
      <w:r>
        <w:rPr>
          <w:rFonts w:asciiTheme="majorBidi" w:hAnsiTheme="majorBidi" w:cstheme="majorBidi"/>
          <w:color w:val="000000" w:themeColor="text1"/>
          <w:sz w:val="22"/>
          <w:szCs w:val="22"/>
        </w:rPr>
        <w:t xml:space="preserve"> of Savanna</w:t>
      </w:r>
      <w:r>
        <w:rPr>
          <w:rFonts w:asciiTheme="majorBidi" w:hAnsiTheme="majorBidi" w:cstheme="majorBidi"/>
          <w:color w:val="000000" w:themeColor="text1"/>
          <w:sz w:val="22"/>
          <w:szCs w:val="22"/>
        </w:rPr>
        <w:t xml:space="preserve"> on or prior to April 10, 2017.</w:t>
      </w:r>
    </w:p>
    <w:p w:rsidR="009C1E09" w:rsidRDefault="00AC2E8D">
      <w:pPr>
        <w:spacing w:before="240" w:beforeAutospacing="1" w:after="100" w:afterAutospacing="1"/>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Holders of Savanna Common Shares who wish to tender their Savanna Common Shares to the Offer prior to 12:00 p.m. (Pacific Time) on April 27, 2017 should promptly contact the information agent for the Offer, Laurel Hill Advis</w:t>
      </w:r>
      <w:r>
        <w:rPr>
          <w:rFonts w:asciiTheme="majorBidi" w:hAnsiTheme="majorBidi" w:cstheme="majorBidi"/>
          <w:color w:val="000000" w:themeColor="text1"/>
          <w:sz w:val="22"/>
          <w:szCs w:val="22"/>
        </w:rPr>
        <w:t>ory Group ("</w:t>
      </w:r>
      <w:r>
        <w:rPr>
          <w:rFonts w:asciiTheme="majorBidi" w:hAnsiTheme="majorBidi" w:cstheme="majorBidi"/>
          <w:b/>
          <w:bCs/>
          <w:color w:val="000000" w:themeColor="text1"/>
          <w:sz w:val="22"/>
          <w:szCs w:val="22"/>
        </w:rPr>
        <w:t>Laurel Hill</w:t>
      </w:r>
      <w:r>
        <w:rPr>
          <w:rFonts w:asciiTheme="majorBidi" w:hAnsiTheme="majorBidi" w:cstheme="majorBidi"/>
          <w:color w:val="000000" w:themeColor="text1"/>
          <w:sz w:val="22"/>
          <w:szCs w:val="22"/>
        </w:rPr>
        <w:t>"), or the depositary for the Offer, Computershare Investor Services Inc. (the "</w:t>
      </w:r>
      <w:r>
        <w:rPr>
          <w:rFonts w:asciiTheme="majorBidi" w:hAnsiTheme="majorBidi" w:cstheme="majorBidi"/>
          <w:b/>
          <w:bCs/>
          <w:color w:val="000000" w:themeColor="text1"/>
          <w:sz w:val="22"/>
          <w:szCs w:val="22"/>
        </w:rPr>
        <w:t>Depositary</w:t>
      </w:r>
      <w:r>
        <w:rPr>
          <w:rFonts w:asciiTheme="majorBidi" w:hAnsiTheme="majorBidi" w:cstheme="majorBidi"/>
          <w:color w:val="000000" w:themeColor="text1"/>
          <w:sz w:val="22"/>
          <w:szCs w:val="22"/>
        </w:rPr>
        <w:t>").  Contact information for Laurel Hill and the Depositary is set out below in this news release.</w:t>
      </w:r>
    </w:p>
    <w:p w:rsidR="009C1E09" w:rsidRDefault="00AC2E8D">
      <w:pPr>
        <w:spacing w:before="100" w:beforeAutospacing="1" w:after="100" w:afterAutospacing="1"/>
        <w:jc w:val="both"/>
        <w:rPr>
          <w:rFonts w:asciiTheme="majorBidi" w:hAnsiTheme="majorBidi" w:cstheme="majorBidi"/>
          <w:color w:val="000000" w:themeColor="text1"/>
          <w:sz w:val="22"/>
          <w:szCs w:val="22"/>
        </w:rPr>
      </w:pPr>
      <w:r>
        <w:rPr>
          <w:rFonts w:asciiTheme="majorBidi" w:hAnsiTheme="majorBidi" w:cstheme="majorBidi"/>
          <w:b/>
          <w:bCs/>
          <w:color w:val="000000" w:themeColor="text1"/>
          <w:sz w:val="22"/>
          <w:szCs w:val="22"/>
        </w:rPr>
        <w:t>Savanna shareholders whose Savanna Common Sh</w:t>
      </w:r>
      <w:r>
        <w:rPr>
          <w:rFonts w:asciiTheme="majorBidi" w:hAnsiTheme="majorBidi" w:cstheme="majorBidi"/>
          <w:b/>
          <w:bCs/>
          <w:color w:val="000000" w:themeColor="text1"/>
          <w:sz w:val="22"/>
          <w:szCs w:val="22"/>
        </w:rPr>
        <w:t xml:space="preserve">ares are held on their behalf, or for their account, by an investment dealer, broker, bank, trust company or other intermediary, should promptly contact their intermediary directly if they wish to accept the Offer and tender their Savanna Common Shares to </w:t>
      </w:r>
      <w:r>
        <w:rPr>
          <w:rFonts w:asciiTheme="majorBidi" w:hAnsiTheme="majorBidi" w:cstheme="majorBidi"/>
          <w:b/>
          <w:bCs/>
          <w:color w:val="000000" w:themeColor="text1"/>
          <w:sz w:val="22"/>
          <w:szCs w:val="22"/>
        </w:rPr>
        <w:t xml:space="preserve">the Offer prior to 12:00 p.m. (Pacific Time) on April 27, 2017.  </w:t>
      </w:r>
    </w:p>
    <w:p w:rsidR="009C1E09" w:rsidRDefault="00AC2E8D">
      <w:pPr>
        <w:spacing w:before="240" w:beforeAutospacing="1" w:after="100" w:afterAutospacing="1"/>
        <w:jc w:val="both"/>
        <w:rPr>
          <w:rFonts w:asciiTheme="majorBidi" w:hAnsiTheme="majorBidi" w:cstheme="majorBidi"/>
          <w:color w:val="000000" w:themeColor="text1"/>
          <w:sz w:val="22"/>
          <w:szCs w:val="22"/>
        </w:rPr>
      </w:pPr>
      <w:r>
        <w:rPr>
          <w:rFonts w:asciiTheme="majorBidi" w:hAnsiTheme="majorBidi" w:cstheme="majorBidi"/>
          <w:color w:val="000000"/>
          <w:sz w:val="22"/>
          <w:szCs w:val="22"/>
        </w:rPr>
        <w:t xml:space="preserve">The purpose of the Offer is to enable </w:t>
      </w:r>
      <w:r>
        <w:rPr>
          <w:rFonts w:asciiTheme="majorBidi" w:hAnsiTheme="majorBidi" w:cstheme="majorBidi"/>
          <w:color w:val="000000" w:themeColor="text1"/>
          <w:sz w:val="22"/>
          <w:szCs w:val="22"/>
        </w:rPr>
        <w:t xml:space="preserve">Total Energy to acquire </w:t>
      </w:r>
      <w:r>
        <w:rPr>
          <w:rFonts w:asciiTheme="majorBidi" w:hAnsiTheme="majorBidi" w:cstheme="majorBidi"/>
          <w:color w:val="000000"/>
          <w:sz w:val="22"/>
          <w:szCs w:val="22"/>
        </w:rPr>
        <w:t xml:space="preserve">all of </w:t>
      </w:r>
      <w:r>
        <w:rPr>
          <w:rFonts w:asciiTheme="majorBidi" w:hAnsiTheme="majorBidi" w:cstheme="majorBidi"/>
          <w:color w:val="000000" w:themeColor="text1"/>
          <w:sz w:val="22"/>
          <w:szCs w:val="22"/>
        </w:rPr>
        <w:t xml:space="preserve">the issued and outstanding Savanna Common Shares. Total Energy </w:t>
      </w:r>
      <w:r>
        <w:rPr>
          <w:rFonts w:asciiTheme="majorBidi" w:hAnsiTheme="majorBidi" w:cstheme="majorBidi"/>
          <w:color w:val="000000"/>
          <w:sz w:val="22"/>
          <w:szCs w:val="22"/>
        </w:rPr>
        <w:t xml:space="preserve">currently </w:t>
      </w:r>
      <w:r>
        <w:rPr>
          <w:rFonts w:asciiTheme="majorBidi" w:hAnsiTheme="majorBidi" w:cstheme="majorBidi"/>
          <w:color w:val="000000" w:themeColor="text1"/>
          <w:sz w:val="22"/>
          <w:szCs w:val="22"/>
        </w:rPr>
        <w:t>intends to take such action as is necessary (inc</w:t>
      </w:r>
      <w:r>
        <w:rPr>
          <w:rFonts w:asciiTheme="majorBidi" w:hAnsiTheme="majorBidi" w:cstheme="majorBidi"/>
          <w:color w:val="000000" w:themeColor="text1"/>
          <w:sz w:val="22"/>
          <w:szCs w:val="22"/>
        </w:rPr>
        <w:t xml:space="preserve">luding effecting a </w:t>
      </w:r>
      <w:r>
        <w:rPr>
          <w:rFonts w:asciiTheme="majorBidi" w:hAnsiTheme="majorBidi" w:cstheme="majorBidi"/>
          <w:color w:val="000000"/>
          <w:sz w:val="22"/>
          <w:szCs w:val="22"/>
        </w:rPr>
        <w:t xml:space="preserve">subsequent acquisition </w:t>
      </w:r>
      <w:r>
        <w:rPr>
          <w:rFonts w:asciiTheme="majorBidi" w:hAnsiTheme="majorBidi" w:cstheme="majorBidi"/>
          <w:color w:val="000000" w:themeColor="text1"/>
          <w:sz w:val="22"/>
          <w:szCs w:val="22"/>
        </w:rPr>
        <w:t xml:space="preserve">transaction or compulsory acquisition as contemplated in the Offer Documents (as defined below)) to acquire any Savanna Common Shares not tendered to the Offer. </w:t>
      </w:r>
      <w:proofErr w:type="gramStart"/>
      <w:r>
        <w:rPr>
          <w:rFonts w:asciiTheme="majorBidi" w:hAnsiTheme="majorBidi" w:cstheme="majorBidi"/>
          <w:color w:val="000000" w:themeColor="text1"/>
          <w:sz w:val="22"/>
          <w:szCs w:val="22"/>
        </w:rPr>
        <w:t xml:space="preserve">Following completion of the Offer and any </w:t>
      </w:r>
      <w:r>
        <w:rPr>
          <w:rFonts w:asciiTheme="majorBidi" w:hAnsiTheme="majorBidi" w:cstheme="majorBidi"/>
          <w:color w:val="000000"/>
          <w:sz w:val="22"/>
          <w:szCs w:val="22"/>
        </w:rPr>
        <w:t xml:space="preserve">subsequent </w:t>
      </w:r>
      <w:r>
        <w:rPr>
          <w:rFonts w:asciiTheme="majorBidi" w:hAnsiTheme="majorBidi" w:cstheme="majorBidi"/>
          <w:color w:val="000000"/>
          <w:sz w:val="22"/>
          <w:szCs w:val="22"/>
        </w:rPr>
        <w:t xml:space="preserve">acquisition </w:t>
      </w:r>
      <w:r>
        <w:rPr>
          <w:rFonts w:asciiTheme="majorBidi" w:hAnsiTheme="majorBidi" w:cstheme="majorBidi"/>
          <w:color w:val="000000" w:themeColor="text1"/>
          <w:sz w:val="22"/>
          <w:szCs w:val="22"/>
        </w:rPr>
        <w:t>transaction or compulsory acquisition</w:t>
      </w:r>
      <w:r>
        <w:rPr>
          <w:rFonts w:asciiTheme="majorBidi" w:hAnsiTheme="majorBidi" w:cstheme="majorBidi"/>
          <w:color w:val="000000"/>
          <w:sz w:val="22"/>
          <w:szCs w:val="22"/>
        </w:rPr>
        <w:t xml:space="preserve">, as applicable, </w:t>
      </w:r>
      <w:r>
        <w:rPr>
          <w:rFonts w:asciiTheme="majorBidi" w:hAnsiTheme="majorBidi" w:cstheme="majorBidi"/>
          <w:color w:val="000000" w:themeColor="text1"/>
          <w:sz w:val="22"/>
          <w:szCs w:val="22"/>
        </w:rPr>
        <w:t>Total Energy intends to cause Savanna to apply to the Toronto Stock Exchange (the "</w:t>
      </w:r>
      <w:r>
        <w:rPr>
          <w:rFonts w:asciiTheme="majorBidi" w:hAnsiTheme="majorBidi" w:cstheme="majorBidi"/>
          <w:b/>
          <w:color w:val="000000" w:themeColor="text1"/>
          <w:sz w:val="22"/>
          <w:szCs w:val="22"/>
        </w:rPr>
        <w:t>TSX</w:t>
      </w:r>
      <w:r>
        <w:rPr>
          <w:rFonts w:asciiTheme="majorBidi" w:hAnsiTheme="majorBidi" w:cstheme="majorBidi"/>
          <w:color w:val="000000" w:themeColor="text1"/>
          <w:sz w:val="22"/>
          <w:szCs w:val="22"/>
        </w:rPr>
        <w:t xml:space="preserve">") to delist the Savanna Common Shares from the TSX and, if permitted by </w:t>
      </w:r>
      <w:r>
        <w:rPr>
          <w:rFonts w:asciiTheme="majorBidi" w:hAnsiTheme="majorBidi" w:cstheme="majorBidi"/>
          <w:color w:val="000000"/>
          <w:sz w:val="22"/>
          <w:szCs w:val="22"/>
        </w:rPr>
        <w:t xml:space="preserve">applicable </w:t>
      </w:r>
      <w:r>
        <w:rPr>
          <w:rFonts w:asciiTheme="majorBidi" w:hAnsiTheme="majorBidi" w:cstheme="majorBidi"/>
          <w:color w:val="000000" w:themeColor="text1"/>
          <w:sz w:val="22"/>
          <w:szCs w:val="22"/>
        </w:rPr>
        <w:t>law, cause Savanna t</w:t>
      </w:r>
      <w:r>
        <w:rPr>
          <w:rFonts w:asciiTheme="majorBidi" w:hAnsiTheme="majorBidi" w:cstheme="majorBidi"/>
          <w:color w:val="000000" w:themeColor="text1"/>
          <w:sz w:val="22"/>
          <w:szCs w:val="22"/>
        </w:rPr>
        <w:t xml:space="preserve">o cease to be a reporting issuer (or equivalent) under </w:t>
      </w:r>
      <w:r>
        <w:rPr>
          <w:rFonts w:asciiTheme="majorBidi" w:hAnsiTheme="majorBidi" w:cstheme="majorBidi"/>
          <w:color w:val="000000"/>
          <w:sz w:val="22"/>
          <w:szCs w:val="22"/>
        </w:rPr>
        <w:t xml:space="preserve">applicable </w:t>
      </w:r>
      <w:r>
        <w:rPr>
          <w:rFonts w:asciiTheme="majorBidi" w:hAnsiTheme="majorBidi" w:cstheme="majorBidi"/>
          <w:color w:val="000000" w:themeColor="text1"/>
          <w:sz w:val="22"/>
          <w:szCs w:val="22"/>
        </w:rPr>
        <w:t>Canadian securities laws.</w:t>
      </w:r>
      <w:proofErr w:type="gramEnd"/>
    </w:p>
    <w:p w:rsidR="009C1E09" w:rsidRDefault="00AC2E8D">
      <w:pPr>
        <w:spacing w:before="100" w:beforeAutospacing="1" w:after="100" w:afterAutospacing="1"/>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A copy of Total Energy’s early warning report filed for the initial take-up of Savanna Common Shares and the Subsequent Take-Up </w:t>
      </w:r>
      <w:proofErr w:type="gramStart"/>
      <w:r>
        <w:rPr>
          <w:rFonts w:asciiTheme="majorBidi" w:hAnsiTheme="majorBidi" w:cstheme="majorBidi"/>
          <w:color w:val="000000" w:themeColor="text1"/>
          <w:sz w:val="22"/>
          <w:szCs w:val="22"/>
        </w:rPr>
        <w:t>can be obtained</w:t>
      </w:r>
      <w:proofErr w:type="gramEnd"/>
      <w:r>
        <w:rPr>
          <w:rFonts w:asciiTheme="majorBidi" w:hAnsiTheme="majorBidi" w:cstheme="majorBidi"/>
          <w:color w:val="000000" w:themeColor="text1"/>
          <w:sz w:val="22"/>
          <w:szCs w:val="22"/>
        </w:rPr>
        <w:t xml:space="preserve"> from Daniel Halyk, P</w:t>
      </w:r>
      <w:r>
        <w:rPr>
          <w:rFonts w:asciiTheme="majorBidi" w:hAnsiTheme="majorBidi" w:cstheme="majorBidi"/>
          <w:color w:val="000000" w:themeColor="text1"/>
          <w:sz w:val="22"/>
          <w:szCs w:val="22"/>
        </w:rPr>
        <w:t xml:space="preserve">resident and CEO of Total Energy at Total Energy’s head office at Suite 2550, 300 – 5th Avenue S.W., Calgary, Alberta T2P 3C4. Total Energy will file an early warning report, as required by </w:t>
      </w:r>
      <w:r>
        <w:rPr>
          <w:rFonts w:asciiTheme="majorBidi" w:hAnsiTheme="majorBidi" w:cstheme="majorBidi"/>
          <w:color w:val="000000"/>
          <w:sz w:val="22"/>
          <w:szCs w:val="22"/>
        </w:rPr>
        <w:t xml:space="preserve">applicable </w:t>
      </w:r>
      <w:r>
        <w:rPr>
          <w:rFonts w:asciiTheme="majorBidi" w:hAnsiTheme="majorBidi" w:cstheme="majorBidi"/>
          <w:color w:val="000000" w:themeColor="text1"/>
          <w:sz w:val="22"/>
          <w:szCs w:val="22"/>
        </w:rPr>
        <w:t xml:space="preserve">securities laws, for any additional take-up of Savanna </w:t>
      </w:r>
      <w:r>
        <w:rPr>
          <w:rFonts w:asciiTheme="majorBidi" w:hAnsiTheme="majorBidi" w:cstheme="majorBidi"/>
          <w:color w:val="000000" w:themeColor="text1"/>
          <w:sz w:val="22"/>
          <w:szCs w:val="22"/>
        </w:rPr>
        <w:t>Common Shares.</w:t>
      </w:r>
    </w:p>
    <w:p w:rsidR="009C1E09" w:rsidRDefault="00AC2E8D">
      <w:pPr>
        <w:spacing w:before="100" w:beforeAutospacing="1" w:after="100" w:afterAutospacing="1"/>
        <w:jc w:val="both"/>
        <w:rPr>
          <w:rFonts w:asciiTheme="majorBidi" w:hAnsiTheme="majorBidi" w:cstheme="majorBidi"/>
          <w:color w:val="000000" w:themeColor="text1"/>
          <w:sz w:val="22"/>
          <w:szCs w:val="22"/>
        </w:rPr>
      </w:pPr>
      <w:r>
        <w:rPr>
          <w:rFonts w:asciiTheme="majorBidi" w:hAnsiTheme="majorBidi" w:cstheme="majorBidi"/>
          <w:b/>
          <w:bCs/>
          <w:color w:val="000000" w:themeColor="text1"/>
          <w:sz w:val="22"/>
          <w:szCs w:val="22"/>
        </w:rPr>
        <w:t>About Total Energy's Offer to Savanna Shareholders</w:t>
      </w:r>
    </w:p>
    <w:p w:rsidR="009C1E09" w:rsidRDefault="00AC2E8D">
      <w:pPr>
        <w:spacing w:before="100" w:beforeAutospacing="1" w:after="100" w:afterAutospacing="1"/>
        <w:jc w:val="both"/>
        <w:rPr>
          <w:rFonts w:asciiTheme="majorBidi" w:hAnsiTheme="majorBidi" w:cstheme="majorBidi"/>
          <w:color w:val="000000" w:themeColor="text1"/>
          <w:sz w:val="22"/>
          <w:szCs w:val="22"/>
        </w:rPr>
      </w:pPr>
      <w:proofErr w:type="gramStart"/>
      <w:r>
        <w:rPr>
          <w:rFonts w:asciiTheme="majorBidi" w:hAnsiTheme="majorBidi" w:cstheme="majorBidi"/>
          <w:color w:val="000000" w:themeColor="text1"/>
          <w:sz w:val="22"/>
          <w:szCs w:val="22"/>
        </w:rPr>
        <w:t>Full details of the Offer are contained in the offer to purchase and associated take-over bid circular dated December 9, 2016 (the "</w:t>
      </w:r>
      <w:r>
        <w:rPr>
          <w:rFonts w:asciiTheme="majorBidi" w:hAnsiTheme="majorBidi" w:cstheme="majorBidi"/>
          <w:b/>
          <w:bCs/>
          <w:color w:val="000000" w:themeColor="text1"/>
          <w:sz w:val="22"/>
          <w:szCs w:val="22"/>
        </w:rPr>
        <w:t>Original Offer and Circular</w:t>
      </w:r>
      <w:r>
        <w:rPr>
          <w:rFonts w:asciiTheme="majorBidi" w:hAnsiTheme="majorBidi" w:cstheme="majorBidi"/>
          <w:color w:val="000000" w:themeColor="text1"/>
          <w:sz w:val="22"/>
          <w:szCs w:val="22"/>
        </w:rPr>
        <w:t xml:space="preserve">"), as amended, varied and </w:t>
      </w:r>
      <w:r>
        <w:rPr>
          <w:rFonts w:asciiTheme="majorBidi" w:hAnsiTheme="majorBidi" w:cstheme="majorBidi"/>
          <w:color w:val="000000" w:themeColor="text1"/>
          <w:sz w:val="22"/>
          <w:szCs w:val="22"/>
        </w:rPr>
        <w:t>supplemented by the notice of change and variation dated March 1, 2017 (the "</w:t>
      </w:r>
      <w:r>
        <w:rPr>
          <w:rFonts w:asciiTheme="majorBidi" w:hAnsiTheme="majorBidi" w:cstheme="majorBidi"/>
          <w:b/>
          <w:bCs/>
          <w:color w:val="000000" w:themeColor="text1"/>
          <w:sz w:val="22"/>
          <w:szCs w:val="22"/>
        </w:rPr>
        <w:t>First Notice of Change</w:t>
      </w:r>
      <w:r>
        <w:rPr>
          <w:rFonts w:asciiTheme="majorBidi" w:hAnsiTheme="majorBidi" w:cstheme="majorBidi"/>
          <w:color w:val="000000" w:themeColor="text1"/>
          <w:sz w:val="22"/>
          <w:szCs w:val="22"/>
        </w:rPr>
        <w:t xml:space="preserve">"), the Notice </w:t>
      </w:r>
      <w:r>
        <w:rPr>
          <w:rFonts w:asciiTheme="majorBidi" w:hAnsiTheme="majorBidi" w:cstheme="majorBidi"/>
          <w:color w:val="000000" w:themeColor="text1"/>
          <w:sz w:val="22"/>
          <w:szCs w:val="22"/>
        </w:rPr>
        <w:lastRenderedPageBreak/>
        <w:t>of Variation dated March 13, 2017 (the "</w:t>
      </w:r>
      <w:r>
        <w:rPr>
          <w:rFonts w:asciiTheme="majorBidi" w:hAnsiTheme="majorBidi" w:cstheme="majorBidi"/>
          <w:b/>
          <w:color w:val="000000" w:themeColor="text1"/>
          <w:sz w:val="22"/>
          <w:szCs w:val="22"/>
        </w:rPr>
        <w:t>Second Notice of Variation</w:t>
      </w:r>
      <w:r>
        <w:rPr>
          <w:rFonts w:asciiTheme="majorBidi" w:hAnsiTheme="majorBidi" w:cstheme="majorBidi"/>
          <w:color w:val="000000" w:themeColor="text1"/>
          <w:sz w:val="22"/>
          <w:szCs w:val="22"/>
        </w:rPr>
        <w:t>"), the Notice of Extension dated March 27, 2017 (the "</w:t>
      </w:r>
      <w:r>
        <w:rPr>
          <w:rFonts w:asciiTheme="majorBidi" w:hAnsiTheme="majorBidi" w:cstheme="majorBidi"/>
          <w:b/>
          <w:color w:val="000000" w:themeColor="text1"/>
          <w:sz w:val="22"/>
          <w:szCs w:val="22"/>
        </w:rPr>
        <w:t>First Notice of Exten</w:t>
      </w:r>
      <w:r>
        <w:rPr>
          <w:rFonts w:asciiTheme="majorBidi" w:hAnsiTheme="majorBidi" w:cstheme="majorBidi"/>
          <w:b/>
          <w:color w:val="000000" w:themeColor="text1"/>
          <w:sz w:val="22"/>
          <w:szCs w:val="22"/>
        </w:rPr>
        <w:t>sion</w:t>
      </w:r>
      <w:r>
        <w:rPr>
          <w:rFonts w:asciiTheme="majorBidi" w:hAnsiTheme="majorBidi" w:cstheme="majorBidi"/>
          <w:color w:val="000000" w:themeColor="text1"/>
          <w:sz w:val="22"/>
          <w:szCs w:val="22"/>
        </w:rPr>
        <w:t>") and the Second Notice of Extension (when it becomes available).</w:t>
      </w:r>
      <w:proofErr w:type="gramEnd"/>
      <w:r>
        <w:rPr>
          <w:rFonts w:asciiTheme="majorBidi" w:hAnsiTheme="majorBidi" w:cstheme="majorBidi"/>
          <w:color w:val="000000" w:themeColor="text1"/>
          <w:sz w:val="22"/>
          <w:szCs w:val="22"/>
        </w:rPr>
        <w:t xml:space="preserve"> Those documents are (or, in the case of the Second Notice of Extension, will be) available under Savanna's profile at www.sedar.com and on Total Energy's website at www.totalenergy.ca/s</w:t>
      </w:r>
      <w:r>
        <w:rPr>
          <w:rFonts w:asciiTheme="majorBidi" w:hAnsiTheme="majorBidi" w:cstheme="majorBidi"/>
          <w:color w:val="000000" w:themeColor="text1"/>
          <w:sz w:val="22"/>
          <w:szCs w:val="22"/>
        </w:rPr>
        <w:t xml:space="preserve">avannaoffer. </w:t>
      </w:r>
      <w:proofErr w:type="spellStart"/>
      <w:proofErr w:type="gramStart"/>
      <w:r>
        <w:rPr>
          <w:rFonts w:asciiTheme="majorBidi" w:hAnsiTheme="majorBidi" w:cstheme="majorBidi"/>
          <w:color w:val="000000" w:themeColor="text1"/>
          <w:sz w:val="22"/>
          <w:szCs w:val="22"/>
        </w:rPr>
        <w:t>Securityholders</w:t>
      </w:r>
      <w:proofErr w:type="spellEnd"/>
      <w:r>
        <w:rPr>
          <w:rFonts w:asciiTheme="majorBidi" w:hAnsiTheme="majorBidi" w:cstheme="majorBidi"/>
          <w:color w:val="000000" w:themeColor="text1"/>
          <w:sz w:val="22"/>
          <w:szCs w:val="22"/>
        </w:rPr>
        <w:t xml:space="preserve"> of Savanna are urged to read the Original Offer and Circular, the First Notice of Change, the Second Notice of Variation, the First Notice of Extension and the Second Notice of Extension (when it becomes available), the Letter </w:t>
      </w:r>
      <w:r>
        <w:rPr>
          <w:rFonts w:asciiTheme="majorBidi" w:hAnsiTheme="majorBidi" w:cstheme="majorBidi"/>
          <w:color w:val="000000" w:themeColor="text1"/>
          <w:sz w:val="22"/>
          <w:szCs w:val="22"/>
        </w:rPr>
        <w:t>of Transmittal (and the amended Letter of Transmittal) and the Notice of Guaranteed Delivery for the Offer (collectively, the "</w:t>
      </w:r>
      <w:r>
        <w:rPr>
          <w:rFonts w:asciiTheme="majorBidi" w:hAnsiTheme="majorBidi" w:cstheme="majorBidi"/>
          <w:b/>
          <w:color w:val="000000" w:themeColor="text1"/>
          <w:sz w:val="22"/>
          <w:szCs w:val="22"/>
        </w:rPr>
        <w:t>Offer Documents</w:t>
      </w:r>
      <w:r>
        <w:rPr>
          <w:rFonts w:asciiTheme="majorBidi" w:hAnsiTheme="majorBidi" w:cstheme="majorBidi"/>
          <w:color w:val="000000" w:themeColor="text1"/>
          <w:sz w:val="22"/>
          <w:szCs w:val="22"/>
        </w:rPr>
        <w:t>") and to consider the important information set out in those documents.</w:t>
      </w:r>
      <w:proofErr w:type="gramEnd"/>
      <w:r>
        <w:rPr>
          <w:rFonts w:asciiTheme="majorBidi" w:hAnsiTheme="majorBidi" w:cstheme="majorBidi"/>
          <w:color w:val="000000" w:themeColor="text1"/>
          <w:sz w:val="22"/>
          <w:szCs w:val="22"/>
        </w:rPr>
        <w:t xml:space="preserve"> </w:t>
      </w:r>
      <w:proofErr w:type="gramStart"/>
      <w:r>
        <w:rPr>
          <w:rFonts w:asciiTheme="majorBidi" w:hAnsiTheme="majorBidi" w:cstheme="majorBidi"/>
          <w:color w:val="000000" w:themeColor="text1"/>
          <w:sz w:val="22"/>
          <w:szCs w:val="22"/>
        </w:rPr>
        <w:t>Copies of the Offer Documents may be obta</w:t>
      </w:r>
      <w:r>
        <w:rPr>
          <w:rFonts w:asciiTheme="majorBidi" w:hAnsiTheme="majorBidi" w:cstheme="majorBidi"/>
          <w:color w:val="000000" w:themeColor="text1"/>
          <w:sz w:val="22"/>
          <w:szCs w:val="22"/>
        </w:rPr>
        <w:t xml:space="preserve">ined free </w:t>
      </w:r>
      <w:r>
        <w:rPr>
          <w:rFonts w:asciiTheme="majorBidi" w:hAnsiTheme="majorBidi" w:cstheme="majorBidi"/>
          <w:color w:val="000000"/>
          <w:sz w:val="22"/>
          <w:szCs w:val="22"/>
        </w:rPr>
        <w:t xml:space="preserve">of charge </w:t>
      </w:r>
      <w:r>
        <w:rPr>
          <w:rFonts w:asciiTheme="majorBidi" w:hAnsiTheme="majorBidi" w:cstheme="majorBidi"/>
          <w:color w:val="000000" w:themeColor="text1"/>
          <w:sz w:val="22"/>
          <w:szCs w:val="22"/>
        </w:rPr>
        <w:t xml:space="preserve">at www.sedar.com (under Savanna's profile) and may also be obtained free </w:t>
      </w:r>
      <w:r>
        <w:rPr>
          <w:rFonts w:asciiTheme="majorBidi" w:hAnsiTheme="majorBidi" w:cstheme="majorBidi"/>
          <w:color w:val="000000"/>
          <w:sz w:val="22"/>
          <w:szCs w:val="22"/>
        </w:rPr>
        <w:t xml:space="preserve">of charge </w:t>
      </w:r>
      <w:r>
        <w:rPr>
          <w:rFonts w:asciiTheme="majorBidi" w:hAnsiTheme="majorBidi" w:cstheme="majorBidi"/>
          <w:color w:val="000000" w:themeColor="text1"/>
          <w:sz w:val="22"/>
          <w:szCs w:val="22"/>
        </w:rPr>
        <w:t>upon request from the Corporate Secretary of Total Energy, at 2550, 300 – 5th Avenue S.W. Calgary, Alberta T2P 3C4, or from Laurel Hill Advisory Group ("</w:t>
      </w:r>
      <w:r>
        <w:rPr>
          <w:rFonts w:asciiTheme="majorBidi" w:hAnsiTheme="majorBidi" w:cstheme="majorBidi"/>
          <w:b/>
          <w:color w:val="000000" w:themeColor="text1"/>
          <w:sz w:val="22"/>
          <w:szCs w:val="22"/>
        </w:rPr>
        <w:t>Laurel Hill</w:t>
      </w:r>
      <w:r>
        <w:rPr>
          <w:rFonts w:asciiTheme="majorBidi" w:hAnsiTheme="majorBidi" w:cstheme="majorBidi"/>
          <w:color w:val="000000" w:themeColor="text1"/>
          <w:sz w:val="22"/>
          <w:szCs w:val="22"/>
        </w:rPr>
        <w:t>") at the numbers and email address shown below under the heading "Advisors to Total Energy".</w:t>
      </w:r>
      <w:proofErr w:type="gramEnd"/>
    </w:p>
    <w:p w:rsidR="009C1E09" w:rsidRDefault="00AC2E8D">
      <w:pPr>
        <w:keepNext/>
        <w:keepLines/>
        <w:spacing w:before="100" w:beforeAutospacing="1" w:after="100" w:afterAutospacing="1"/>
        <w:rPr>
          <w:rFonts w:asciiTheme="majorBidi" w:hAnsiTheme="majorBidi" w:cstheme="majorBidi"/>
          <w:b/>
          <w:bCs/>
          <w:color w:val="000000" w:themeColor="text1"/>
          <w:sz w:val="22"/>
          <w:szCs w:val="22"/>
        </w:rPr>
      </w:pPr>
      <w:r>
        <w:rPr>
          <w:rFonts w:asciiTheme="majorBidi" w:hAnsiTheme="majorBidi" w:cstheme="majorBidi"/>
          <w:b/>
          <w:bCs/>
          <w:color w:val="000000" w:themeColor="text1"/>
          <w:sz w:val="22"/>
          <w:szCs w:val="22"/>
        </w:rPr>
        <w:t>Advisors to Total Energy</w:t>
      </w:r>
    </w:p>
    <w:p w:rsidR="009C1E09" w:rsidRDefault="00AC2E8D">
      <w:pPr>
        <w:keepNext/>
        <w:keepLines/>
        <w:spacing w:before="100" w:beforeAutospacing="1" w:after="100" w:afterAutospacing="1"/>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Total Energy has engaged GMP FirstEnergy to act as its financial advisor and dealer manager. Bennett </w:t>
      </w:r>
      <w:r>
        <w:rPr>
          <w:rFonts w:asciiTheme="majorBidi" w:hAnsiTheme="majorBidi" w:cstheme="majorBidi"/>
          <w:color w:val="000000"/>
          <w:sz w:val="22"/>
          <w:szCs w:val="22"/>
        </w:rPr>
        <w:t xml:space="preserve">Jones LLP is acting as </w:t>
      </w:r>
      <w:r>
        <w:rPr>
          <w:rFonts w:asciiTheme="majorBidi" w:hAnsiTheme="majorBidi" w:cstheme="majorBidi"/>
          <w:color w:val="000000" w:themeColor="text1"/>
          <w:sz w:val="22"/>
          <w:szCs w:val="22"/>
        </w:rPr>
        <w:t xml:space="preserve">Canadian legal advisor and </w:t>
      </w:r>
      <w:r>
        <w:rPr>
          <w:rFonts w:asciiTheme="majorBidi" w:hAnsiTheme="majorBidi" w:cstheme="majorBidi"/>
          <w:color w:val="000000"/>
          <w:sz w:val="22"/>
          <w:szCs w:val="22"/>
        </w:rPr>
        <w:t xml:space="preserve">Paul, Weiss, Rifkind, Wharton &amp; Garrison LLP is acting as </w:t>
      </w:r>
      <w:r>
        <w:rPr>
          <w:rFonts w:asciiTheme="majorBidi" w:hAnsiTheme="majorBidi" w:cstheme="majorBidi"/>
          <w:color w:val="000000" w:themeColor="text1"/>
          <w:sz w:val="22"/>
          <w:szCs w:val="22"/>
        </w:rPr>
        <w:t xml:space="preserve">United States legal advisor </w:t>
      </w:r>
      <w:r>
        <w:rPr>
          <w:rFonts w:asciiTheme="majorBidi" w:hAnsiTheme="majorBidi" w:cstheme="majorBidi"/>
          <w:color w:val="000000"/>
          <w:sz w:val="22"/>
          <w:szCs w:val="22"/>
        </w:rPr>
        <w:t>in connection with the Offer.</w:t>
      </w:r>
    </w:p>
    <w:p w:rsidR="009C1E09" w:rsidRDefault="00AC2E8D">
      <w:pPr>
        <w:spacing w:before="100" w:beforeAutospacing="1" w:after="100" w:afterAutospacing="1"/>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Laurel Hill </w:t>
      </w:r>
      <w:proofErr w:type="gramStart"/>
      <w:r>
        <w:rPr>
          <w:rFonts w:asciiTheme="majorBidi" w:hAnsiTheme="majorBidi" w:cstheme="majorBidi"/>
          <w:color w:val="000000" w:themeColor="text1"/>
          <w:sz w:val="22"/>
          <w:szCs w:val="22"/>
        </w:rPr>
        <w:t>has been retained</w:t>
      </w:r>
      <w:proofErr w:type="gramEnd"/>
      <w:r>
        <w:rPr>
          <w:rFonts w:asciiTheme="majorBidi" w:hAnsiTheme="majorBidi" w:cstheme="majorBidi"/>
          <w:color w:val="000000" w:themeColor="text1"/>
          <w:sz w:val="22"/>
          <w:szCs w:val="22"/>
        </w:rPr>
        <w:t xml:space="preserve"> as information agent for the Offer. Savanna Shareholders may contact Laurel Hill by</w:t>
      </w:r>
      <w:r>
        <w:rPr>
          <w:rFonts w:asciiTheme="majorBidi" w:hAnsiTheme="majorBidi" w:cstheme="majorBidi"/>
          <w:color w:val="000000" w:themeColor="text1"/>
          <w:sz w:val="22"/>
          <w:szCs w:val="22"/>
        </w:rPr>
        <w:t xml:space="preserve"> telephone at 1-877-452-7184 (Toll Free in North America) or 1-416-304-0211 (Collect </w:t>
      </w:r>
      <w:proofErr w:type="gramStart"/>
      <w:r>
        <w:rPr>
          <w:rFonts w:asciiTheme="majorBidi" w:hAnsiTheme="majorBidi" w:cstheme="majorBidi"/>
          <w:color w:val="000000" w:themeColor="text1"/>
          <w:sz w:val="22"/>
          <w:szCs w:val="22"/>
        </w:rPr>
        <w:t>Outside</w:t>
      </w:r>
      <w:proofErr w:type="gramEnd"/>
      <w:r>
        <w:rPr>
          <w:rFonts w:asciiTheme="majorBidi" w:hAnsiTheme="majorBidi" w:cstheme="majorBidi"/>
          <w:color w:val="000000" w:themeColor="text1"/>
          <w:sz w:val="22"/>
          <w:szCs w:val="22"/>
        </w:rPr>
        <w:t xml:space="preserve"> North America) or by email at assistance@laurelhill.com.</w:t>
      </w:r>
    </w:p>
    <w:p w:rsidR="009C1E09" w:rsidRDefault="00AC2E8D">
      <w:pPr>
        <w:spacing w:before="100" w:beforeAutospacing="1" w:after="100" w:afterAutospacing="1"/>
        <w:jc w:val="both"/>
        <w:rPr>
          <w:rFonts w:asciiTheme="majorBidi" w:hAnsiTheme="majorBidi" w:cstheme="majorBidi"/>
          <w:b/>
          <w:bCs/>
          <w:color w:val="000000" w:themeColor="text1"/>
          <w:sz w:val="22"/>
          <w:szCs w:val="22"/>
        </w:rPr>
      </w:pPr>
      <w:r>
        <w:rPr>
          <w:rFonts w:asciiTheme="majorBidi" w:hAnsiTheme="majorBidi" w:cstheme="majorBidi"/>
          <w:color w:val="000000" w:themeColor="text1"/>
          <w:sz w:val="22"/>
          <w:szCs w:val="22"/>
        </w:rPr>
        <w:t>Computershare Investor Services Inc. ("</w:t>
      </w:r>
      <w:r>
        <w:rPr>
          <w:rFonts w:asciiTheme="majorBidi" w:hAnsiTheme="majorBidi" w:cstheme="majorBidi"/>
          <w:b/>
          <w:bCs/>
          <w:color w:val="000000" w:themeColor="text1"/>
          <w:sz w:val="22"/>
          <w:szCs w:val="22"/>
        </w:rPr>
        <w:t>Computershare</w:t>
      </w:r>
      <w:r>
        <w:rPr>
          <w:rFonts w:asciiTheme="majorBidi" w:hAnsiTheme="majorBidi" w:cstheme="majorBidi"/>
          <w:color w:val="000000" w:themeColor="text1"/>
          <w:sz w:val="22"/>
          <w:szCs w:val="22"/>
        </w:rPr>
        <w:t xml:space="preserve">") </w:t>
      </w:r>
      <w:proofErr w:type="gramStart"/>
      <w:r>
        <w:rPr>
          <w:rFonts w:asciiTheme="majorBidi" w:hAnsiTheme="majorBidi" w:cstheme="majorBidi"/>
          <w:color w:val="000000" w:themeColor="text1"/>
          <w:sz w:val="22"/>
          <w:szCs w:val="22"/>
        </w:rPr>
        <w:t>has been retained</w:t>
      </w:r>
      <w:proofErr w:type="gramEnd"/>
      <w:r>
        <w:rPr>
          <w:rFonts w:asciiTheme="majorBidi" w:hAnsiTheme="majorBidi" w:cstheme="majorBidi"/>
          <w:color w:val="000000" w:themeColor="text1"/>
          <w:sz w:val="22"/>
          <w:szCs w:val="22"/>
        </w:rPr>
        <w:t xml:space="preserve"> as the depositary for the Offer. </w:t>
      </w:r>
      <w:r>
        <w:rPr>
          <w:rFonts w:asciiTheme="majorBidi" w:hAnsiTheme="majorBidi" w:cstheme="majorBidi"/>
          <w:color w:val="000000" w:themeColor="text1"/>
          <w:sz w:val="22"/>
          <w:szCs w:val="22"/>
        </w:rPr>
        <w:t>Shareholders of Savanna may contact Computershare by telephone at 1-800-564-6253 (Toll free in North America), or at 1-514-982-7555 (Collect Outside of North America), or by e-mail at corporateactions@computershare.com.</w:t>
      </w:r>
    </w:p>
    <w:p w:rsidR="009C1E09" w:rsidRDefault="00AC2E8D">
      <w:pPr>
        <w:spacing w:before="100" w:beforeAutospacing="1" w:after="100" w:afterAutospacing="1"/>
        <w:jc w:val="both"/>
        <w:rPr>
          <w:rFonts w:asciiTheme="majorBidi" w:hAnsiTheme="majorBidi" w:cstheme="majorBidi"/>
          <w:color w:val="000000" w:themeColor="text1"/>
          <w:sz w:val="22"/>
          <w:szCs w:val="22"/>
        </w:rPr>
      </w:pPr>
      <w:r>
        <w:rPr>
          <w:rFonts w:asciiTheme="majorBidi" w:hAnsiTheme="majorBidi" w:cstheme="majorBidi"/>
          <w:b/>
          <w:bCs/>
          <w:color w:val="000000" w:themeColor="text1"/>
          <w:sz w:val="22"/>
          <w:szCs w:val="22"/>
        </w:rPr>
        <w:t xml:space="preserve">About Total Energy </w:t>
      </w:r>
    </w:p>
    <w:p w:rsidR="009C1E09" w:rsidRDefault="00AC2E8D">
      <w:pPr>
        <w:spacing w:before="100" w:beforeAutospacing="1" w:after="100" w:afterAutospacing="1"/>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Total Energy is </w:t>
      </w:r>
      <w:r>
        <w:rPr>
          <w:rFonts w:asciiTheme="majorBidi" w:hAnsiTheme="majorBidi" w:cstheme="majorBidi"/>
          <w:color w:val="000000" w:themeColor="text1"/>
          <w:sz w:val="22"/>
          <w:szCs w:val="22"/>
        </w:rPr>
        <w:t>a growth oriented energy services corporation involved in contract drilling services (Chinook Drilling), rentals and transportation services (Total Oilfield Rentals) and the fabrication, sale, rental and servicing of natural gas compression (Bidell Gas Com</w:t>
      </w:r>
      <w:r>
        <w:rPr>
          <w:rFonts w:asciiTheme="majorBidi" w:hAnsiTheme="majorBidi" w:cstheme="majorBidi"/>
          <w:color w:val="000000" w:themeColor="text1"/>
          <w:sz w:val="22"/>
          <w:szCs w:val="22"/>
        </w:rPr>
        <w:t xml:space="preserve">pression) and process equipment (Spectrum Process Systems). </w:t>
      </w:r>
    </w:p>
    <w:p w:rsidR="009C1E09" w:rsidRDefault="00AC2E8D">
      <w:pPr>
        <w:spacing w:before="100" w:beforeAutospacing="1" w:after="100" w:afterAutospacing="1"/>
        <w:jc w:val="both"/>
        <w:rPr>
          <w:rFonts w:asciiTheme="majorBidi" w:hAnsiTheme="majorBidi" w:cstheme="majorBidi"/>
          <w:color w:val="000000" w:themeColor="text1"/>
          <w:sz w:val="22"/>
          <w:szCs w:val="22"/>
        </w:rPr>
      </w:pPr>
      <w:r>
        <w:rPr>
          <w:rFonts w:asciiTheme="majorBidi" w:hAnsiTheme="majorBidi" w:cstheme="majorBidi"/>
          <w:i/>
          <w:iCs/>
          <w:color w:val="000000" w:themeColor="text1"/>
          <w:sz w:val="22"/>
          <w:szCs w:val="22"/>
        </w:rPr>
        <w:t xml:space="preserve">The Toronto Stock Exchange has neither approved nor disapproved of the </w:t>
      </w:r>
      <w:r>
        <w:rPr>
          <w:rFonts w:asciiTheme="majorBidi" w:hAnsiTheme="majorBidi" w:cstheme="majorBidi"/>
          <w:i/>
          <w:iCs/>
          <w:color w:val="000000"/>
          <w:sz w:val="22"/>
          <w:szCs w:val="22"/>
        </w:rPr>
        <w:t>information contained herein</w:t>
      </w:r>
      <w:r>
        <w:rPr>
          <w:rFonts w:asciiTheme="majorBidi" w:hAnsiTheme="majorBidi" w:cstheme="majorBidi"/>
          <w:i/>
          <w:iCs/>
          <w:color w:val="000000" w:themeColor="text1"/>
          <w:sz w:val="22"/>
          <w:szCs w:val="22"/>
        </w:rPr>
        <w:t xml:space="preserve">. </w:t>
      </w:r>
    </w:p>
    <w:p w:rsidR="009C1E09" w:rsidRDefault="00AC2E8D">
      <w:pPr>
        <w:spacing w:before="100" w:beforeAutospacing="1" w:after="100" w:afterAutospacing="1"/>
        <w:jc w:val="both"/>
        <w:rPr>
          <w:rFonts w:asciiTheme="majorBidi" w:hAnsiTheme="majorBidi" w:cstheme="majorBidi"/>
          <w:i/>
          <w:iCs/>
          <w:color w:val="000000" w:themeColor="text1"/>
          <w:sz w:val="22"/>
          <w:szCs w:val="22"/>
        </w:rPr>
      </w:pPr>
      <w:r>
        <w:rPr>
          <w:rFonts w:asciiTheme="majorBidi" w:hAnsiTheme="majorBidi" w:cstheme="majorBidi"/>
          <w:i/>
          <w:iCs/>
          <w:color w:val="000000" w:themeColor="text1"/>
          <w:sz w:val="22"/>
          <w:szCs w:val="22"/>
        </w:rPr>
        <w:t xml:space="preserve">This news release shall not constitute an offer to sell or a solicitation of an offer to buy, nor </w:t>
      </w:r>
      <w:proofErr w:type="gramStart"/>
      <w:r>
        <w:rPr>
          <w:rFonts w:asciiTheme="majorBidi" w:hAnsiTheme="majorBidi" w:cstheme="majorBidi"/>
          <w:i/>
          <w:iCs/>
          <w:color w:val="000000" w:themeColor="text1"/>
          <w:sz w:val="22"/>
          <w:szCs w:val="22"/>
        </w:rPr>
        <w:t>shall there</w:t>
      </w:r>
      <w:proofErr w:type="gramEnd"/>
      <w:r>
        <w:rPr>
          <w:rFonts w:asciiTheme="majorBidi" w:hAnsiTheme="majorBidi" w:cstheme="majorBidi"/>
          <w:i/>
          <w:iCs/>
          <w:color w:val="000000" w:themeColor="text1"/>
          <w:sz w:val="22"/>
          <w:szCs w:val="22"/>
        </w:rPr>
        <w:t xml:space="preserve"> be any sale of the </w:t>
      </w:r>
      <w:r>
        <w:rPr>
          <w:rFonts w:asciiTheme="majorBidi" w:hAnsiTheme="majorBidi" w:cstheme="majorBidi"/>
          <w:i/>
          <w:iCs/>
          <w:color w:val="000000"/>
          <w:sz w:val="22"/>
          <w:szCs w:val="22"/>
        </w:rPr>
        <w:t xml:space="preserve">applicable </w:t>
      </w:r>
      <w:r>
        <w:rPr>
          <w:rFonts w:asciiTheme="majorBidi" w:hAnsiTheme="majorBidi" w:cstheme="majorBidi"/>
          <w:i/>
          <w:iCs/>
          <w:color w:val="000000" w:themeColor="text1"/>
          <w:sz w:val="22"/>
          <w:szCs w:val="22"/>
        </w:rPr>
        <w:t>securities in any jurisdiction in which such an offer, solicitation or sale would be unlawful prior to the registrat</w:t>
      </w:r>
      <w:r>
        <w:rPr>
          <w:rFonts w:asciiTheme="majorBidi" w:hAnsiTheme="majorBidi" w:cstheme="majorBidi"/>
          <w:i/>
          <w:iCs/>
          <w:color w:val="000000" w:themeColor="text1"/>
          <w:sz w:val="22"/>
          <w:szCs w:val="22"/>
        </w:rPr>
        <w:t>ion or qualification under the securities laws of any such jurisdiction.</w:t>
      </w:r>
    </w:p>
    <w:p w:rsidR="009C1E09" w:rsidRDefault="00AC2E8D">
      <w:pPr>
        <w:spacing w:before="100" w:beforeAutospacing="1" w:after="100" w:afterAutospacing="1"/>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Total Energy has filed with the U.S. Securities and Exchange Commission ("</w:t>
      </w:r>
      <w:r>
        <w:rPr>
          <w:rFonts w:asciiTheme="majorBidi" w:hAnsiTheme="majorBidi" w:cstheme="majorBidi"/>
          <w:b/>
          <w:color w:val="000000" w:themeColor="text1"/>
          <w:sz w:val="22"/>
          <w:szCs w:val="22"/>
        </w:rPr>
        <w:t>SEC</w:t>
      </w:r>
      <w:r>
        <w:rPr>
          <w:rFonts w:asciiTheme="majorBidi" w:hAnsiTheme="majorBidi" w:cstheme="majorBidi"/>
          <w:color w:val="000000" w:themeColor="text1"/>
          <w:sz w:val="22"/>
          <w:szCs w:val="22"/>
        </w:rPr>
        <w:t>") a Registration Statement (the "</w:t>
      </w:r>
      <w:r>
        <w:rPr>
          <w:rFonts w:asciiTheme="majorBidi" w:hAnsiTheme="majorBidi" w:cstheme="majorBidi"/>
          <w:b/>
          <w:bCs/>
          <w:color w:val="000000" w:themeColor="text1"/>
          <w:sz w:val="22"/>
          <w:szCs w:val="22"/>
        </w:rPr>
        <w:t>Registration Statement</w:t>
      </w:r>
      <w:r>
        <w:rPr>
          <w:rFonts w:asciiTheme="majorBidi" w:hAnsiTheme="majorBidi" w:cstheme="majorBidi"/>
          <w:color w:val="000000" w:themeColor="text1"/>
          <w:sz w:val="22"/>
          <w:szCs w:val="22"/>
        </w:rPr>
        <w:t>"), which includes the Original Offer and Circular</w:t>
      </w:r>
      <w:r>
        <w:rPr>
          <w:rFonts w:asciiTheme="majorBidi" w:hAnsiTheme="majorBidi" w:cstheme="majorBidi"/>
          <w:color w:val="000000" w:themeColor="text1"/>
          <w:sz w:val="22"/>
          <w:szCs w:val="22"/>
        </w:rPr>
        <w:t xml:space="preserve">, the First Notice of Change, the Second Notice of Variation, the First Notice of Extension and the Second Notice of Extension (when it becomes available), relating to its offer to Savanna Shareholders. </w:t>
      </w:r>
      <w:r>
        <w:rPr>
          <w:rFonts w:asciiTheme="majorBidi" w:hAnsiTheme="majorBidi" w:cstheme="majorBidi"/>
          <w:b/>
          <w:bCs/>
          <w:color w:val="000000" w:themeColor="text1"/>
          <w:sz w:val="22"/>
          <w:szCs w:val="22"/>
        </w:rPr>
        <w:t>TOTAL URGES INVESTORS AND SECURITYHOLDERS TO READ THE</w:t>
      </w:r>
      <w:r>
        <w:rPr>
          <w:rFonts w:asciiTheme="majorBidi" w:hAnsiTheme="majorBidi" w:cstheme="majorBidi"/>
          <w:b/>
          <w:bCs/>
          <w:color w:val="000000" w:themeColor="text1"/>
          <w:sz w:val="22"/>
          <w:szCs w:val="22"/>
        </w:rPr>
        <w:t xml:space="preserve"> REGISTRATION STATEMENT, THE ORIGINAL OFFER AND CIRCULAR, THE FIRST NOTICE OF CHANGE, THE SECOND NOTICE OF CHANGE, THE NOTICE OF </w:t>
      </w:r>
      <w:r>
        <w:rPr>
          <w:rFonts w:asciiTheme="majorBidi" w:hAnsiTheme="majorBidi" w:cstheme="majorBidi"/>
          <w:b/>
          <w:bCs/>
          <w:color w:val="000000" w:themeColor="text1"/>
          <w:sz w:val="22"/>
          <w:szCs w:val="22"/>
        </w:rPr>
        <w:lastRenderedPageBreak/>
        <w:t xml:space="preserve">EXTENSION AND THE SECOND NOTICE OF EXTENSION (WHEN IT BECOMES AVAILABLE) AND ANY OTHER RELEVANT DOCUMENTS TO BE FILED WITH THE </w:t>
      </w:r>
      <w:r>
        <w:rPr>
          <w:rFonts w:asciiTheme="majorBidi" w:hAnsiTheme="majorBidi" w:cstheme="majorBidi"/>
          <w:b/>
          <w:bCs/>
          <w:color w:val="000000" w:themeColor="text1"/>
          <w:sz w:val="22"/>
          <w:szCs w:val="22"/>
        </w:rPr>
        <w:t>SEC AND CANADIAN SECURITIES REGULATORY AUTHORITIES, BECAUSE THEY CONTAIN IMPORTANT INFORMATION.</w:t>
      </w:r>
      <w:r>
        <w:rPr>
          <w:rFonts w:asciiTheme="majorBidi" w:hAnsiTheme="majorBidi" w:cstheme="majorBidi"/>
          <w:color w:val="000000" w:themeColor="text1"/>
          <w:sz w:val="22"/>
          <w:szCs w:val="22"/>
        </w:rPr>
        <w:t xml:space="preserve"> </w:t>
      </w:r>
      <w:proofErr w:type="gramStart"/>
      <w:r>
        <w:rPr>
          <w:rFonts w:asciiTheme="majorBidi" w:hAnsiTheme="majorBidi" w:cstheme="majorBidi"/>
          <w:color w:val="000000" w:themeColor="text1"/>
          <w:sz w:val="22"/>
          <w:szCs w:val="22"/>
        </w:rPr>
        <w:t>Investors may obtain a free copy of the Original Offer and Circular, the First Notice of Change, the Second Notice of Variation, the First Notice of Extension a</w:t>
      </w:r>
      <w:r>
        <w:rPr>
          <w:rFonts w:asciiTheme="majorBidi" w:hAnsiTheme="majorBidi" w:cstheme="majorBidi"/>
          <w:color w:val="000000" w:themeColor="text1"/>
          <w:sz w:val="22"/>
          <w:szCs w:val="22"/>
        </w:rPr>
        <w:t xml:space="preserve">nd the Second Notice of Extension (when it becomes available) and other documents filed by Total Energy with the Canadian securities regulators at </w:t>
      </w:r>
      <w:r>
        <w:rPr>
          <w:rFonts w:asciiTheme="majorBidi" w:hAnsiTheme="majorBidi" w:cstheme="majorBidi"/>
          <w:sz w:val="22"/>
          <w:szCs w:val="22"/>
        </w:rPr>
        <w:t>www.sedar.com</w:t>
      </w:r>
      <w:r>
        <w:rPr>
          <w:rFonts w:asciiTheme="majorBidi" w:hAnsiTheme="majorBidi" w:cstheme="majorBidi"/>
          <w:color w:val="000000" w:themeColor="text1"/>
          <w:sz w:val="22"/>
          <w:szCs w:val="22"/>
        </w:rPr>
        <w:t xml:space="preserve"> (under the issuer profile for Savanna) and with the SEC at the SEC's website at </w:t>
      </w:r>
      <w:r>
        <w:rPr>
          <w:rFonts w:asciiTheme="majorBidi" w:hAnsiTheme="majorBidi" w:cstheme="majorBidi"/>
          <w:sz w:val="22"/>
          <w:szCs w:val="22"/>
        </w:rPr>
        <w:t>www.sec.gov</w:t>
      </w:r>
      <w:r>
        <w:rPr>
          <w:rFonts w:asciiTheme="majorBidi" w:hAnsiTheme="majorBidi" w:cstheme="majorBidi"/>
          <w:color w:val="000000" w:themeColor="text1"/>
          <w:sz w:val="22"/>
          <w:szCs w:val="22"/>
        </w:rPr>
        <w:t>.</w:t>
      </w:r>
      <w:proofErr w:type="gramEnd"/>
      <w:r>
        <w:rPr>
          <w:rFonts w:asciiTheme="majorBidi" w:hAnsiTheme="majorBidi" w:cstheme="majorBidi"/>
          <w:color w:val="000000" w:themeColor="text1"/>
          <w:sz w:val="22"/>
          <w:szCs w:val="22"/>
        </w:rPr>
        <w:t xml:space="preserve"> </w:t>
      </w:r>
      <w:proofErr w:type="gramStart"/>
      <w:r>
        <w:rPr>
          <w:rFonts w:asciiTheme="majorBidi" w:hAnsiTheme="majorBidi" w:cstheme="majorBidi"/>
          <w:color w:val="000000" w:themeColor="text1"/>
          <w:sz w:val="22"/>
          <w:szCs w:val="22"/>
        </w:rPr>
        <w:t>Th</w:t>
      </w:r>
      <w:r>
        <w:rPr>
          <w:rFonts w:asciiTheme="majorBidi" w:hAnsiTheme="majorBidi" w:cstheme="majorBidi"/>
          <w:color w:val="000000" w:themeColor="text1"/>
          <w:sz w:val="22"/>
          <w:szCs w:val="22"/>
        </w:rPr>
        <w:t xml:space="preserve">e Original Offer and Circular, the First Notice of Change, the Second Notice of Variation, the First Notice of Extension and the Second Notice of Extension (when it becomes available) and other documents may also be obtained free </w:t>
      </w:r>
      <w:r>
        <w:rPr>
          <w:rFonts w:asciiTheme="majorBidi" w:hAnsiTheme="majorBidi" w:cstheme="majorBidi"/>
          <w:color w:val="000000"/>
          <w:sz w:val="22"/>
          <w:szCs w:val="22"/>
        </w:rPr>
        <w:t xml:space="preserve">of charge </w:t>
      </w:r>
      <w:r>
        <w:rPr>
          <w:rFonts w:asciiTheme="majorBidi" w:hAnsiTheme="majorBidi" w:cstheme="majorBidi"/>
          <w:color w:val="000000" w:themeColor="text1"/>
          <w:sz w:val="22"/>
          <w:szCs w:val="22"/>
        </w:rPr>
        <w:t>from Total Energ</w:t>
      </w:r>
      <w:r>
        <w:rPr>
          <w:rFonts w:asciiTheme="majorBidi" w:hAnsiTheme="majorBidi" w:cstheme="majorBidi"/>
          <w:color w:val="000000" w:themeColor="text1"/>
          <w:sz w:val="22"/>
          <w:szCs w:val="22"/>
        </w:rPr>
        <w:t>y’s website at www.totalenergy.ca/savannaoffer or upon request made to Total Energy at 2550, 300 – 5th Avenue S.W., Calgary, Alberta T2P 3C4.</w:t>
      </w:r>
      <w:proofErr w:type="gramEnd"/>
    </w:p>
    <w:p w:rsidR="009C1E09" w:rsidRDefault="00AC2E8D">
      <w:pPr>
        <w:spacing w:before="100" w:beforeAutospacing="1" w:after="100" w:afterAutospacing="1"/>
        <w:jc w:val="both"/>
        <w:rPr>
          <w:rFonts w:asciiTheme="majorBidi" w:hAnsiTheme="majorBidi" w:cstheme="majorBidi"/>
          <w:color w:val="000000" w:themeColor="text1"/>
          <w:sz w:val="22"/>
          <w:szCs w:val="22"/>
        </w:rPr>
      </w:pPr>
      <w:proofErr w:type="spellStart"/>
      <w:r>
        <w:rPr>
          <w:rFonts w:asciiTheme="majorBidi" w:hAnsiTheme="majorBidi" w:cstheme="majorBidi"/>
          <w:color w:val="000000" w:themeColor="text1"/>
          <w:sz w:val="22"/>
          <w:szCs w:val="22"/>
        </w:rPr>
        <w:t>Securityholders</w:t>
      </w:r>
      <w:proofErr w:type="spellEnd"/>
      <w:r>
        <w:rPr>
          <w:rFonts w:asciiTheme="majorBidi" w:hAnsiTheme="majorBidi" w:cstheme="majorBidi"/>
          <w:color w:val="000000" w:themeColor="text1"/>
          <w:sz w:val="22"/>
          <w:szCs w:val="22"/>
        </w:rPr>
        <w:t xml:space="preserve"> </w:t>
      </w:r>
      <w:r>
        <w:rPr>
          <w:rFonts w:asciiTheme="majorBidi" w:hAnsiTheme="majorBidi" w:cstheme="majorBidi"/>
          <w:color w:val="000000"/>
          <w:sz w:val="22"/>
          <w:szCs w:val="22"/>
        </w:rPr>
        <w:t xml:space="preserve">should be aware that </w:t>
      </w:r>
      <w:r>
        <w:rPr>
          <w:rFonts w:asciiTheme="majorBidi" w:hAnsiTheme="majorBidi" w:cstheme="majorBidi"/>
          <w:color w:val="000000" w:themeColor="text1"/>
          <w:sz w:val="22"/>
          <w:szCs w:val="22"/>
        </w:rPr>
        <w:t xml:space="preserve">Total Energy </w:t>
      </w:r>
      <w:proofErr w:type="gramStart"/>
      <w:r>
        <w:rPr>
          <w:rFonts w:asciiTheme="majorBidi" w:hAnsiTheme="majorBidi" w:cstheme="majorBidi"/>
          <w:color w:val="000000" w:themeColor="text1"/>
          <w:sz w:val="22"/>
          <w:szCs w:val="22"/>
        </w:rPr>
        <w:t>may</w:t>
      </w:r>
      <w:proofErr w:type="gramEnd"/>
      <w:r>
        <w:rPr>
          <w:rFonts w:asciiTheme="majorBidi" w:hAnsiTheme="majorBidi" w:cstheme="majorBidi"/>
          <w:color w:val="000000" w:themeColor="text1"/>
          <w:sz w:val="22"/>
          <w:szCs w:val="22"/>
        </w:rPr>
        <w:t xml:space="preserve"> purchase Savanna Common Shares otherwise than under the Offe</w:t>
      </w:r>
      <w:r>
        <w:rPr>
          <w:rFonts w:asciiTheme="majorBidi" w:hAnsiTheme="majorBidi" w:cstheme="majorBidi"/>
          <w:color w:val="000000" w:themeColor="text1"/>
          <w:sz w:val="22"/>
          <w:szCs w:val="22"/>
        </w:rPr>
        <w:t>r, such as in open market purchases.</w:t>
      </w:r>
    </w:p>
    <w:p w:rsidR="009C1E09" w:rsidRDefault="00AC2E8D">
      <w:pPr>
        <w:keepNext/>
        <w:keepLines/>
        <w:spacing w:before="100" w:beforeAutospacing="1" w:after="100" w:afterAutospacing="1"/>
        <w:rPr>
          <w:rFonts w:asciiTheme="majorBidi" w:hAnsiTheme="majorBidi" w:cstheme="majorBidi"/>
          <w:b/>
          <w:bCs/>
          <w:color w:val="000000" w:themeColor="text1"/>
          <w:sz w:val="18"/>
          <w:szCs w:val="18"/>
        </w:rPr>
      </w:pPr>
      <w:r>
        <w:rPr>
          <w:rFonts w:asciiTheme="majorBidi" w:hAnsiTheme="majorBidi" w:cstheme="majorBidi"/>
          <w:b/>
          <w:bCs/>
          <w:color w:val="000000" w:themeColor="text1"/>
          <w:sz w:val="18"/>
          <w:szCs w:val="18"/>
        </w:rPr>
        <w:t>Forward-Looking Information Cautionary Statement</w:t>
      </w:r>
    </w:p>
    <w:p w:rsidR="009C1E09" w:rsidRDefault="00AC2E8D">
      <w:pPr>
        <w:spacing w:before="100" w:beforeAutospacing="1" w:after="100" w:afterAutospacing="1"/>
        <w:jc w:val="both"/>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This news release contains certain forward-looking information (referred to herein as "</w:t>
      </w:r>
      <w:r>
        <w:rPr>
          <w:rFonts w:asciiTheme="majorBidi" w:hAnsiTheme="majorBidi" w:cstheme="majorBidi"/>
          <w:b/>
          <w:bCs/>
          <w:color w:val="000000" w:themeColor="text1"/>
          <w:sz w:val="18"/>
          <w:szCs w:val="18"/>
        </w:rPr>
        <w:t>forward-looking statements</w:t>
      </w:r>
      <w:r>
        <w:rPr>
          <w:rFonts w:asciiTheme="majorBidi" w:hAnsiTheme="majorBidi" w:cstheme="majorBidi"/>
          <w:color w:val="000000" w:themeColor="text1"/>
          <w:sz w:val="18"/>
          <w:szCs w:val="18"/>
        </w:rPr>
        <w:t xml:space="preserve">"). Forward-looking statements are often, but not always, identified by </w:t>
      </w:r>
      <w:r>
        <w:rPr>
          <w:rFonts w:asciiTheme="majorBidi" w:hAnsiTheme="majorBidi" w:cstheme="majorBidi"/>
          <w:color w:val="000000"/>
          <w:sz w:val="18"/>
          <w:szCs w:val="18"/>
        </w:rPr>
        <w:t xml:space="preserve">the use of </w:t>
      </w:r>
      <w:r>
        <w:rPr>
          <w:rFonts w:asciiTheme="majorBidi" w:hAnsiTheme="majorBidi" w:cstheme="majorBidi"/>
          <w:color w:val="000000" w:themeColor="text1"/>
          <w:sz w:val="18"/>
          <w:szCs w:val="18"/>
        </w:rPr>
        <w:t>words such as "anticipate", "believe", "plan", "scheduled", "intend", "objective", "continuous", "ongoing", "estimate", "expect", "may", "will", "project", "should", or simi</w:t>
      </w:r>
      <w:r>
        <w:rPr>
          <w:rFonts w:asciiTheme="majorBidi" w:hAnsiTheme="majorBidi" w:cstheme="majorBidi"/>
          <w:color w:val="000000" w:themeColor="text1"/>
          <w:sz w:val="18"/>
          <w:szCs w:val="18"/>
        </w:rPr>
        <w:t xml:space="preserve">lar words suggesting future events, circumstances or outcomes. </w:t>
      </w:r>
      <w:proofErr w:type="gramStart"/>
      <w:r>
        <w:rPr>
          <w:rFonts w:asciiTheme="majorBidi" w:hAnsiTheme="majorBidi" w:cstheme="majorBidi"/>
          <w:color w:val="000000"/>
          <w:sz w:val="18"/>
          <w:szCs w:val="18"/>
        </w:rPr>
        <w:t>In particular</w:t>
      </w:r>
      <w:r>
        <w:rPr>
          <w:rFonts w:asciiTheme="majorBidi" w:hAnsiTheme="majorBidi" w:cstheme="majorBidi"/>
          <w:color w:val="000000" w:themeColor="text1"/>
          <w:sz w:val="18"/>
          <w:szCs w:val="18"/>
        </w:rPr>
        <w:t xml:space="preserve">, this news release contains forward-looking information </w:t>
      </w:r>
      <w:r>
        <w:rPr>
          <w:rFonts w:asciiTheme="majorBidi" w:hAnsiTheme="majorBidi" w:cstheme="majorBidi"/>
          <w:color w:val="000000"/>
          <w:sz w:val="18"/>
          <w:szCs w:val="18"/>
        </w:rPr>
        <w:t xml:space="preserve">concerning </w:t>
      </w:r>
      <w:r>
        <w:rPr>
          <w:rFonts w:asciiTheme="majorBidi" w:hAnsiTheme="majorBidi" w:cstheme="majorBidi"/>
          <w:color w:val="000000" w:themeColor="text1"/>
          <w:sz w:val="18"/>
          <w:szCs w:val="18"/>
        </w:rPr>
        <w:t xml:space="preserve">the payment for Savanna Common Shares validly tendered to the Offer, including the timing thereof, information </w:t>
      </w:r>
      <w:r>
        <w:rPr>
          <w:rFonts w:asciiTheme="majorBidi" w:hAnsiTheme="majorBidi" w:cstheme="majorBidi"/>
          <w:color w:val="000000"/>
          <w:sz w:val="18"/>
          <w:szCs w:val="18"/>
        </w:rPr>
        <w:t>c</w:t>
      </w:r>
      <w:r>
        <w:rPr>
          <w:rFonts w:asciiTheme="majorBidi" w:hAnsiTheme="majorBidi" w:cstheme="majorBidi"/>
          <w:color w:val="000000"/>
          <w:sz w:val="18"/>
          <w:szCs w:val="18"/>
        </w:rPr>
        <w:t xml:space="preserve">oncerning </w:t>
      </w:r>
      <w:r>
        <w:rPr>
          <w:rFonts w:asciiTheme="majorBidi" w:hAnsiTheme="majorBidi" w:cstheme="majorBidi"/>
          <w:color w:val="000000" w:themeColor="text1"/>
          <w:sz w:val="18"/>
          <w:szCs w:val="18"/>
        </w:rPr>
        <w:t xml:space="preserve">the arrangements for the sale of Total Common Shares on behalf of Non-exempt Shareholders under the Offer, information </w:t>
      </w:r>
      <w:r>
        <w:rPr>
          <w:rFonts w:asciiTheme="majorBidi" w:hAnsiTheme="majorBidi" w:cstheme="majorBidi"/>
          <w:color w:val="000000"/>
          <w:sz w:val="18"/>
          <w:szCs w:val="18"/>
        </w:rPr>
        <w:t xml:space="preserve">concerning </w:t>
      </w:r>
      <w:r>
        <w:rPr>
          <w:rFonts w:asciiTheme="majorBidi" w:hAnsiTheme="majorBidi" w:cstheme="majorBidi"/>
          <w:color w:val="000000" w:themeColor="text1"/>
          <w:sz w:val="18"/>
          <w:szCs w:val="18"/>
        </w:rPr>
        <w:t xml:space="preserve">the anticipated filing and mailing of the Second Notice of Extension, Total Energy’s plans </w:t>
      </w:r>
      <w:r>
        <w:rPr>
          <w:rFonts w:asciiTheme="majorBidi" w:hAnsiTheme="majorBidi" w:cstheme="majorBidi"/>
          <w:color w:val="000000"/>
          <w:sz w:val="18"/>
          <w:szCs w:val="18"/>
        </w:rPr>
        <w:t>with respect to the filin</w:t>
      </w:r>
      <w:r>
        <w:rPr>
          <w:rFonts w:asciiTheme="majorBidi" w:hAnsiTheme="majorBidi" w:cstheme="majorBidi"/>
          <w:color w:val="000000"/>
          <w:sz w:val="18"/>
          <w:szCs w:val="18"/>
        </w:rPr>
        <w:t xml:space="preserve">g of </w:t>
      </w:r>
      <w:r>
        <w:rPr>
          <w:rFonts w:asciiTheme="majorBidi" w:hAnsiTheme="majorBidi" w:cstheme="majorBidi"/>
          <w:color w:val="000000" w:themeColor="text1"/>
          <w:sz w:val="18"/>
          <w:szCs w:val="18"/>
        </w:rPr>
        <w:t xml:space="preserve">early warning reports for any </w:t>
      </w:r>
      <w:r>
        <w:rPr>
          <w:rFonts w:asciiTheme="majorBidi" w:hAnsiTheme="majorBidi" w:cstheme="majorBidi"/>
          <w:color w:val="000000"/>
          <w:sz w:val="18"/>
          <w:szCs w:val="18"/>
        </w:rPr>
        <w:t xml:space="preserve">subsequent take-up </w:t>
      </w:r>
      <w:r>
        <w:rPr>
          <w:rFonts w:asciiTheme="majorBidi" w:hAnsiTheme="majorBidi" w:cstheme="majorBidi"/>
          <w:color w:val="000000" w:themeColor="text1"/>
          <w:sz w:val="18"/>
          <w:szCs w:val="18"/>
        </w:rPr>
        <w:t>of Savanna Common Shares,  Total Energy’s purchase of additional Savanna Common Shares on the TSX and Total Energy's intentions with respect to Savanna upon successful completion of the Offer.</w:t>
      </w:r>
      <w:proofErr w:type="gramEnd"/>
    </w:p>
    <w:p w:rsidR="009C1E09" w:rsidRDefault="00AC2E8D">
      <w:pPr>
        <w:spacing w:before="100" w:beforeAutospacing="1" w:after="100" w:afterAutospacing="1"/>
        <w:jc w:val="both"/>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Forward-l</w:t>
      </w:r>
      <w:r>
        <w:rPr>
          <w:rFonts w:asciiTheme="majorBidi" w:hAnsiTheme="majorBidi" w:cstheme="majorBidi"/>
          <w:color w:val="000000" w:themeColor="text1"/>
          <w:sz w:val="18"/>
          <w:szCs w:val="18"/>
        </w:rPr>
        <w:t xml:space="preserve">ooking statements </w:t>
      </w:r>
      <w:proofErr w:type="gramStart"/>
      <w:r>
        <w:rPr>
          <w:rFonts w:asciiTheme="majorBidi" w:hAnsiTheme="majorBidi" w:cstheme="majorBidi"/>
          <w:color w:val="000000" w:themeColor="text1"/>
          <w:sz w:val="18"/>
          <w:szCs w:val="18"/>
        </w:rPr>
        <w:t>are based</w:t>
      </w:r>
      <w:proofErr w:type="gramEnd"/>
      <w:r>
        <w:rPr>
          <w:rFonts w:asciiTheme="majorBidi" w:hAnsiTheme="majorBidi" w:cstheme="majorBidi"/>
          <w:color w:val="000000" w:themeColor="text1"/>
          <w:sz w:val="18"/>
          <w:szCs w:val="18"/>
        </w:rPr>
        <w:t xml:space="preserve"> upon the opinions and expectations of management of Total Energy as at the effective date of such statements. Although Total Energy believes the expectations reflected in such forward-looking statements are based upon reasonable</w:t>
      </w:r>
      <w:r>
        <w:rPr>
          <w:rFonts w:asciiTheme="majorBidi" w:hAnsiTheme="majorBidi" w:cstheme="majorBidi"/>
          <w:color w:val="000000" w:themeColor="text1"/>
          <w:sz w:val="18"/>
          <w:szCs w:val="18"/>
        </w:rPr>
        <w:t xml:space="preserve"> assumptions, it can give no assurance those expectations will prove to have been correct. Forward-looking statements are subject to certain risks and uncertainties that could cause actual events or outcomes to differ materially from those anticipated or i</w:t>
      </w:r>
      <w:r>
        <w:rPr>
          <w:rFonts w:asciiTheme="majorBidi" w:hAnsiTheme="majorBidi" w:cstheme="majorBidi"/>
          <w:color w:val="000000" w:themeColor="text1"/>
          <w:sz w:val="18"/>
          <w:szCs w:val="18"/>
        </w:rPr>
        <w:t xml:space="preserve">mplied by such forward-looking statements. </w:t>
      </w:r>
      <w:proofErr w:type="gramStart"/>
      <w:r>
        <w:rPr>
          <w:rFonts w:asciiTheme="majorBidi" w:hAnsiTheme="majorBidi" w:cstheme="majorBidi"/>
          <w:color w:val="000000" w:themeColor="text1"/>
          <w:sz w:val="18"/>
          <w:szCs w:val="18"/>
        </w:rPr>
        <w:t>These risks and uncertainties include, but are not limited to, such things as changes in general economic conditions in Canada, the United States and elsewhere, the volatility of prices for oil and natural gas and</w:t>
      </w:r>
      <w:r>
        <w:rPr>
          <w:rFonts w:asciiTheme="majorBidi" w:hAnsiTheme="majorBidi" w:cstheme="majorBidi"/>
          <w:color w:val="000000" w:themeColor="text1"/>
          <w:sz w:val="18"/>
          <w:szCs w:val="18"/>
        </w:rPr>
        <w:t xml:space="preserve"> other commodities, fluctuations in currency and interest rates and fluctuations in market prices for the publicly traded securities of Total Energy and Savanna, non-fulfillment of conditions of the Offer and new laws and regulations (domestic and foreign)</w:t>
      </w:r>
      <w:r>
        <w:rPr>
          <w:rFonts w:asciiTheme="majorBidi" w:hAnsiTheme="majorBidi" w:cstheme="majorBidi"/>
          <w:color w:val="000000" w:themeColor="text1"/>
          <w:sz w:val="18"/>
          <w:szCs w:val="18"/>
        </w:rPr>
        <w:t>.</w:t>
      </w:r>
      <w:proofErr w:type="gramEnd"/>
    </w:p>
    <w:p w:rsidR="009C1E09" w:rsidRDefault="00AC2E8D">
      <w:pPr>
        <w:spacing w:before="100" w:beforeAutospacing="1" w:after="100" w:afterAutospacing="1"/>
        <w:jc w:val="both"/>
        <w:rPr>
          <w:rFonts w:asciiTheme="majorBidi" w:hAnsiTheme="majorBidi" w:cstheme="majorBidi"/>
          <w:color w:val="000000" w:themeColor="text1"/>
          <w:sz w:val="18"/>
          <w:szCs w:val="18"/>
        </w:rPr>
      </w:pPr>
      <w:r>
        <w:rPr>
          <w:rFonts w:asciiTheme="majorBidi" w:hAnsiTheme="majorBidi" w:cstheme="majorBidi"/>
          <w:b/>
          <w:bCs/>
          <w:color w:val="000000" w:themeColor="text1"/>
          <w:sz w:val="18"/>
          <w:szCs w:val="18"/>
        </w:rPr>
        <w:t xml:space="preserve">Having regard to the </w:t>
      </w:r>
      <w:r>
        <w:rPr>
          <w:rFonts w:asciiTheme="majorBidi" w:hAnsiTheme="majorBidi" w:cstheme="majorBidi"/>
          <w:b/>
          <w:bCs/>
          <w:color w:val="000000"/>
          <w:sz w:val="18"/>
          <w:szCs w:val="18"/>
        </w:rPr>
        <w:t xml:space="preserve">various </w:t>
      </w:r>
      <w:r>
        <w:rPr>
          <w:rFonts w:asciiTheme="majorBidi" w:hAnsiTheme="majorBidi" w:cstheme="majorBidi"/>
          <w:b/>
          <w:bCs/>
          <w:color w:val="000000" w:themeColor="text1"/>
          <w:sz w:val="18"/>
          <w:szCs w:val="18"/>
        </w:rPr>
        <w:t xml:space="preserve">risk factors, readers should not place undue reliance upon the forward-looking statements in this news release and such forward-looking statements </w:t>
      </w:r>
      <w:proofErr w:type="gramStart"/>
      <w:r>
        <w:rPr>
          <w:rFonts w:asciiTheme="majorBidi" w:hAnsiTheme="majorBidi" w:cstheme="majorBidi"/>
          <w:b/>
          <w:bCs/>
          <w:color w:val="000000" w:themeColor="text1"/>
          <w:sz w:val="18"/>
          <w:szCs w:val="18"/>
        </w:rPr>
        <w:t>should not be interpreted or regarded as guarantees of future outcomes</w:t>
      </w:r>
      <w:proofErr w:type="gramEnd"/>
      <w:r>
        <w:rPr>
          <w:rFonts w:asciiTheme="majorBidi" w:hAnsiTheme="majorBidi" w:cstheme="majorBidi"/>
          <w:b/>
          <w:bCs/>
          <w:color w:val="000000" w:themeColor="text1"/>
          <w:sz w:val="18"/>
          <w:szCs w:val="18"/>
        </w:rPr>
        <w:t xml:space="preserve">. </w:t>
      </w:r>
    </w:p>
    <w:p w:rsidR="009C1E09" w:rsidRDefault="00AC2E8D">
      <w:pPr>
        <w:spacing w:before="100" w:beforeAutospacing="1" w:after="100" w:afterAutospacing="1"/>
        <w:jc w:val="both"/>
        <w:rPr>
          <w:rFonts w:asciiTheme="majorBidi" w:hAnsiTheme="majorBidi" w:cstheme="majorBidi"/>
          <w:color w:val="000000" w:themeColor="text1"/>
          <w:sz w:val="18"/>
          <w:szCs w:val="18"/>
        </w:rPr>
      </w:pPr>
      <w:r>
        <w:rPr>
          <w:rFonts w:asciiTheme="majorBidi" w:hAnsiTheme="majorBidi" w:cstheme="majorBidi"/>
          <w:b/>
          <w:bCs/>
          <w:color w:val="000000" w:themeColor="text1"/>
          <w:sz w:val="18"/>
          <w:szCs w:val="18"/>
        </w:rPr>
        <w:t>The f</w:t>
      </w:r>
      <w:r>
        <w:rPr>
          <w:rFonts w:asciiTheme="majorBidi" w:hAnsiTheme="majorBidi" w:cstheme="majorBidi"/>
          <w:b/>
          <w:bCs/>
          <w:color w:val="000000" w:themeColor="text1"/>
          <w:sz w:val="18"/>
          <w:szCs w:val="18"/>
        </w:rPr>
        <w:t xml:space="preserve">orward-looking statements in this news release are made as of the date </w:t>
      </w:r>
      <w:r>
        <w:rPr>
          <w:rFonts w:asciiTheme="majorBidi" w:hAnsiTheme="majorBidi" w:cstheme="majorBidi"/>
          <w:b/>
          <w:bCs/>
          <w:color w:val="000000"/>
          <w:sz w:val="18"/>
          <w:szCs w:val="18"/>
        </w:rPr>
        <w:t xml:space="preserve">hereof </w:t>
      </w:r>
      <w:r>
        <w:rPr>
          <w:rFonts w:asciiTheme="majorBidi" w:hAnsiTheme="majorBidi" w:cstheme="majorBidi"/>
          <w:b/>
          <w:bCs/>
          <w:color w:val="000000" w:themeColor="text1"/>
          <w:sz w:val="18"/>
          <w:szCs w:val="18"/>
        </w:rPr>
        <w:t xml:space="preserve">and Total Energy undertakes no obligation to update or to revise </w:t>
      </w:r>
      <w:r>
        <w:rPr>
          <w:rFonts w:asciiTheme="majorBidi" w:hAnsiTheme="majorBidi" w:cstheme="majorBidi"/>
          <w:b/>
          <w:bCs/>
          <w:color w:val="000000"/>
          <w:sz w:val="18"/>
          <w:szCs w:val="18"/>
        </w:rPr>
        <w:t xml:space="preserve">any of </w:t>
      </w:r>
      <w:r>
        <w:rPr>
          <w:rFonts w:asciiTheme="majorBidi" w:hAnsiTheme="majorBidi" w:cstheme="majorBidi"/>
          <w:b/>
          <w:bCs/>
          <w:color w:val="000000" w:themeColor="text1"/>
          <w:sz w:val="18"/>
          <w:szCs w:val="18"/>
        </w:rPr>
        <w:t xml:space="preserve">the included forward-looking statements, except as required by </w:t>
      </w:r>
      <w:r>
        <w:rPr>
          <w:rFonts w:asciiTheme="majorBidi" w:hAnsiTheme="majorBidi" w:cstheme="majorBidi"/>
          <w:b/>
          <w:bCs/>
          <w:color w:val="000000"/>
          <w:sz w:val="18"/>
          <w:szCs w:val="18"/>
        </w:rPr>
        <w:t xml:space="preserve">applicable </w:t>
      </w:r>
      <w:r>
        <w:rPr>
          <w:rFonts w:asciiTheme="majorBidi" w:hAnsiTheme="majorBidi" w:cstheme="majorBidi"/>
          <w:b/>
          <w:bCs/>
          <w:color w:val="000000" w:themeColor="text1"/>
          <w:sz w:val="18"/>
          <w:szCs w:val="18"/>
        </w:rPr>
        <w:t>securities laws in force in Cana</w:t>
      </w:r>
      <w:r>
        <w:rPr>
          <w:rFonts w:asciiTheme="majorBidi" w:hAnsiTheme="majorBidi" w:cstheme="majorBidi"/>
          <w:b/>
          <w:bCs/>
          <w:color w:val="000000" w:themeColor="text1"/>
          <w:sz w:val="18"/>
          <w:szCs w:val="18"/>
        </w:rPr>
        <w:t xml:space="preserve">da. </w:t>
      </w:r>
      <w:proofErr w:type="gramStart"/>
      <w:r>
        <w:rPr>
          <w:rFonts w:asciiTheme="majorBidi" w:hAnsiTheme="majorBidi" w:cstheme="majorBidi"/>
          <w:b/>
          <w:bCs/>
          <w:color w:val="000000" w:themeColor="text1"/>
          <w:sz w:val="18"/>
          <w:szCs w:val="18"/>
        </w:rPr>
        <w:t xml:space="preserve">The forward-looking statements in this news release are </w:t>
      </w:r>
      <w:r>
        <w:rPr>
          <w:rFonts w:asciiTheme="majorBidi" w:hAnsiTheme="majorBidi" w:cstheme="majorBidi"/>
          <w:b/>
          <w:bCs/>
          <w:color w:val="000000"/>
          <w:sz w:val="18"/>
          <w:szCs w:val="18"/>
        </w:rPr>
        <w:t xml:space="preserve">expressly </w:t>
      </w:r>
      <w:r>
        <w:rPr>
          <w:rFonts w:asciiTheme="majorBidi" w:hAnsiTheme="majorBidi" w:cstheme="majorBidi"/>
          <w:b/>
          <w:bCs/>
          <w:color w:val="000000" w:themeColor="text1"/>
          <w:sz w:val="18"/>
          <w:szCs w:val="18"/>
        </w:rPr>
        <w:t>qualified by this cautionary statement</w:t>
      </w:r>
      <w:proofErr w:type="gramEnd"/>
      <w:r>
        <w:rPr>
          <w:rFonts w:asciiTheme="majorBidi" w:hAnsiTheme="majorBidi" w:cstheme="majorBidi"/>
          <w:b/>
          <w:bCs/>
          <w:color w:val="000000" w:themeColor="text1"/>
          <w:sz w:val="18"/>
          <w:szCs w:val="18"/>
        </w:rPr>
        <w:t>.</w:t>
      </w:r>
    </w:p>
    <w:p w:rsidR="009C1E09" w:rsidRDefault="009C1E09">
      <w:pPr>
        <w:ind w:left="-720" w:right="-756"/>
        <w:jc w:val="center"/>
        <w:rPr>
          <w:b/>
          <w:bCs/>
        </w:rPr>
      </w:pPr>
    </w:p>
    <w:sectPr w:rsidR="009C1E09">
      <w:headerReference w:type="even" r:id="rId9"/>
      <w:headerReference w:type="default" r:id="rId10"/>
      <w:footerReference w:type="even" r:id="rId11"/>
      <w:footerReference w:type="default" r:id="rId12"/>
      <w:headerReference w:type="first" r:id="rId13"/>
      <w:footerReference w:type="first" r:id="rId14"/>
      <w:pgSz w:w="12240" w:h="15840" w:code="1"/>
      <w:pgMar w:top="1170" w:right="1728" w:bottom="1260" w:left="1728" w:header="720" w:footer="576"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E09" w:rsidRDefault="00AC2E8D">
      <w:r>
        <w:separator/>
      </w:r>
    </w:p>
  </w:endnote>
  <w:endnote w:type="continuationSeparator" w:id="0">
    <w:p w:rsidR="009C1E09" w:rsidRDefault="00AC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09" w:rsidRDefault="009C1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09" w:rsidRDefault="00AC2E8D">
    <w:pPr>
      <w:pStyle w:val="Footer"/>
      <w:ind w:left="-144"/>
      <w:jc w:val="center"/>
      <w:rPr>
        <w:noProof/>
      </w:rPr>
    </w:pPr>
    <w:sdt>
      <w:sdtPr>
        <w:id w:val="-1465917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09" w:rsidRDefault="009C1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E09" w:rsidRDefault="00AC2E8D">
      <w:r>
        <w:separator/>
      </w:r>
    </w:p>
  </w:footnote>
  <w:footnote w:type="continuationSeparator" w:id="0">
    <w:p w:rsidR="009C1E09" w:rsidRDefault="00AC2E8D">
      <w:r>
        <w:continuationSeparator/>
      </w:r>
    </w:p>
  </w:footnote>
  <w:footnote w:id="1">
    <w:p w:rsidR="009C1E09" w:rsidRDefault="00AC2E8D">
      <w:pPr>
        <w:pStyle w:val="FootnoteText"/>
        <w:ind w:left="180" w:hanging="180"/>
      </w:pPr>
      <w:r>
        <w:rPr>
          <w:rStyle w:val="FootnoteReference"/>
        </w:rPr>
        <w:footnoteRef/>
      </w:r>
      <w:r>
        <w:tab/>
        <w:t xml:space="preserve">Alabama, Alaska, Arizona, Arkansas, California, Colorado, Connecticut, Delaware, the District of </w:t>
      </w:r>
      <w:r>
        <w:t>Columbia, Florida, Illinois, Kentucky, Louisiana, Maryland, Massachusetts, Montana, Nebraska, Nevada, New Jersey, North Carolina, Ohio, Oregon, Pennsylvania, Rhode Island, Tennessee, Texas, Utah, Virginia, Washington, West Virginia or Wyoming.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09" w:rsidRDefault="009C1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09" w:rsidRDefault="009C1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09" w:rsidRDefault="009C1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2EA9"/>
    <w:multiLevelType w:val="hybridMultilevel"/>
    <w:tmpl w:val="79369C14"/>
    <w:lvl w:ilvl="0" w:tplc="1EF292CC">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831C5"/>
    <w:multiLevelType w:val="multilevel"/>
    <w:tmpl w:val="4148BD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428D6A23"/>
    <w:multiLevelType w:val="hybridMultilevel"/>
    <w:tmpl w:val="5C14D4FE"/>
    <w:lvl w:ilvl="0" w:tplc="C114A688">
      <w:start w:val="1"/>
      <w:numFmt w:val="decimal"/>
      <w:lvlText w:val="(%1)"/>
      <w:lvlJc w:val="left"/>
      <w:pPr>
        <w:ind w:left="468" w:hanging="360"/>
      </w:pPr>
      <w:rPr>
        <w:rFonts w:hint="default"/>
        <w:sz w:val="20"/>
        <w:vertAlign w:val="superscrip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 w15:restartNumberingAfterBreak="0">
    <w:nsid w:val="47D73AD9"/>
    <w:multiLevelType w:val="multilevel"/>
    <w:tmpl w:val="FE8CCB78"/>
    <w:name w:val="zzmpStandard||Standard|2|1|1|1|10|32||1|2|32||1|2|32||1|12|32||1|12|32||1|12|32||1|12|32||1|12|32||1|12|32||"/>
    <w:lvl w:ilvl="0">
      <w:start w:val="1"/>
      <w:numFmt w:val="decimal"/>
      <w:pStyle w:val="StandardL1"/>
      <w:lvlText w:val="%1."/>
      <w:lvlJc w:val="left"/>
      <w:pPr>
        <w:tabs>
          <w:tab w:val="num" w:pos="720"/>
        </w:tabs>
        <w:ind w:left="720" w:hanging="720"/>
      </w:pPr>
      <w:rPr>
        <w:rFonts w:ascii="Times New Roman" w:hAnsi="Times New Roman" w:cs="Times New Roman"/>
        <w:b w:val="0"/>
        <w:i w:val="0"/>
        <w:caps w:val="0"/>
        <w:strike w:val="0"/>
        <w:dstrike w:val="0"/>
        <w:vanish w:val="0"/>
        <w:color w:val="auto"/>
        <w:sz w:val="22"/>
        <w:u w:val="none"/>
        <w:effect w:val="none"/>
        <w:vertAlign w:val="baseline"/>
      </w:rPr>
    </w:lvl>
    <w:lvl w:ilvl="1">
      <w:start w:val="1"/>
      <w:numFmt w:val="lowerLetter"/>
      <w:pStyle w:val="StandardL2"/>
      <w:lvlText w:val="(%2)"/>
      <w:lvlJc w:val="left"/>
      <w:pPr>
        <w:tabs>
          <w:tab w:val="num" w:pos="1440"/>
        </w:tabs>
        <w:ind w:left="1440" w:hanging="720"/>
      </w:pPr>
      <w:rPr>
        <w:rFonts w:ascii="Times New Roman" w:hAnsi="Times New Roman" w:cs="Times New Roman"/>
        <w:b w:val="0"/>
        <w:i w:val="0"/>
        <w:caps w:val="0"/>
        <w:strike w:val="0"/>
        <w:dstrike w:val="0"/>
        <w:vanish w:val="0"/>
        <w:color w:val="auto"/>
        <w:sz w:val="22"/>
        <w:u w:val="none"/>
        <w:effect w:val="none"/>
        <w:vertAlign w:val="baseline"/>
      </w:rPr>
    </w:lvl>
    <w:lvl w:ilvl="2">
      <w:start w:val="1"/>
      <w:numFmt w:val="lowerRoman"/>
      <w:pStyle w:val="StandardL3"/>
      <w:lvlText w:val="(%3)"/>
      <w:lvlJc w:val="left"/>
      <w:pPr>
        <w:tabs>
          <w:tab w:val="num" w:pos="2160"/>
        </w:tabs>
        <w:ind w:left="2160" w:hanging="720"/>
      </w:pPr>
      <w:rPr>
        <w:rFonts w:ascii="Times New Roman" w:hAnsi="Times New Roman" w:cs="Times New Roman"/>
        <w:b w:val="0"/>
        <w:i w:val="0"/>
        <w:caps w:val="0"/>
        <w:strike w:val="0"/>
        <w:dstrike w:val="0"/>
        <w:vanish w:val="0"/>
        <w:color w:val="auto"/>
        <w:sz w:val="22"/>
        <w:u w:val="none"/>
        <w:effect w:val="none"/>
        <w:vertAlign w:val="baseline"/>
      </w:rPr>
    </w:lvl>
    <w:lvl w:ilvl="3">
      <w:start w:val="1"/>
      <w:numFmt w:val="upperLetter"/>
      <w:pStyle w:val="StandardL4"/>
      <w:lvlText w:val="(%4)"/>
      <w:lvlJc w:val="left"/>
      <w:pPr>
        <w:tabs>
          <w:tab w:val="num" w:pos="2880"/>
        </w:tabs>
        <w:ind w:left="2880" w:hanging="720"/>
      </w:pPr>
      <w:rPr>
        <w:b w:val="0"/>
        <w:i w:val="0"/>
        <w:caps w:val="0"/>
        <w:strike w:val="0"/>
        <w:dstrike w:val="0"/>
        <w:vanish w:val="0"/>
        <w:color w:val="auto"/>
        <w:u w:val="none"/>
        <w:effect w:val="none"/>
        <w:vertAlign w:val="baseline"/>
      </w:rPr>
    </w:lvl>
    <w:lvl w:ilvl="4">
      <w:start w:val="1"/>
      <w:numFmt w:val="decimal"/>
      <w:pStyle w:val="StandardL5"/>
      <w:lvlText w:val="(%5)"/>
      <w:lvlJc w:val="left"/>
      <w:pPr>
        <w:tabs>
          <w:tab w:val="num" w:pos="3600"/>
        </w:tabs>
        <w:ind w:left="3600" w:hanging="720"/>
      </w:pPr>
      <w:rPr>
        <w:b w:val="0"/>
        <w:i w:val="0"/>
        <w:caps w:val="0"/>
        <w:strike w:val="0"/>
        <w:dstrike w:val="0"/>
        <w:vanish w:val="0"/>
        <w:color w:val="auto"/>
        <w:u w:val="none"/>
        <w:effect w:val="none"/>
        <w:vertAlign w:val="baseline"/>
      </w:rPr>
    </w:lvl>
    <w:lvl w:ilvl="5">
      <w:start w:val="1"/>
      <w:numFmt w:val="lowerLetter"/>
      <w:pStyle w:val="StandardL6"/>
      <w:lvlText w:val="%6)"/>
      <w:lvlJc w:val="left"/>
      <w:pPr>
        <w:tabs>
          <w:tab w:val="num" w:pos="4320"/>
        </w:tabs>
        <w:ind w:left="4320" w:hanging="720"/>
      </w:pPr>
      <w:rPr>
        <w:b w:val="0"/>
        <w:i w:val="0"/>
        <w:caps w:val="0"/>
        <w:strike w:val="0"/>
        <w:dstrike w:val="0"/>
        <w:vanish w:val="0"/>
        <w:color w:val="auto"/>
        <w:u w:val="none"/>
        <w:effect w:val="none"/>
        <w:vertAlign w:val="baseline"/>
      </w:rPr>
    </w:lvl>
    <w:lvl w:ilvl="6">
      <w:start w:val="1"/>
      <w:numFmt w:val="lowerRoman"/>
      <w:pStyle w:val="StandardL7"/>
      <w:lvlText w:val="%7)"/>
      <w:lvlJc w:val="left"/>
      <w:pPr>
        <w:tabs>
          <w:tab w:val="num" w:pos="5040"/>
        </w:tabs>
        <w:ind w:left="5040" w:hanging="720"/>
      </w:pPr>
      <w:rPr>
        <w:b w:val="0"/>
        <w:i w:val="0"/>
        <w:caps w:val="0"/>
        <w:strike w:val="0"/>
        <w:dstrike w:val="0"/>
        <w:vanish w:val="0"/>
        <w:color w:val="auto"/>
        <w:u w:val="none"/>
        <w:effect w:val="none"/>
        <w:vertAlign w:val="baseline"/>
      </w:rPr>
    </w:lvl>
    <w:lvl w:ilvl="7">
      <w:start w:val="1"/>
      <w:numFmt w:val="upperLetter"/>
      <w:pStyle w:val="StandardL8"/>
      <w:lvlText w:val="%8)"/>
      <w:lvlJc w:val="left"/>
      <w:pPr>
        <w:tabs>
          <w:tab w:val="num" w:pos="5760"/>
        </w:tabs>
        <w:ind w:left="5760" w:hanging="720"/>
      </w:pPr>
      <w:rPr>
        <w:b w:val="0"/>
        <w:i w:val="0"/>
        <w:caps w:val="0"/>
        <w:strike w:val="0"/>
        <w:dstrike w:val="0"/>
        <w:vanish w:val="0"/>
        <w:color w:val="auto"/>
        <w:u w:val="none"/>
        <w:effect w:val="none"/>
        <w:vertAlign w:val="baseline"/>
      </w:rPr>
    </w:lvl>
    <w:lvl w:ilvl="8">
      <w:start w:val="1"/>
      <w:numFmt w:val="decimal"/>
      <w:pStyle w:val="StandardL9"/>
      <w:lvlText w:val="%9)"/>
      <w:lvlJc w:val="left"/>
      <w:pPr>
        <w:tabs>
          <w:tab w:val="num" w:pos="6480"/>
        </w:tabs>
        <w:ind w:left="6480" w:hanging="720"/>
      </w:pPr>
      <w:rPr>
        <w:b w:val="0"/>
        <w:i w:val="0"/>
        <w:caps w:val="0"/>
        <w:strike w:val="0"/>
        <w:dstrike w:val="0"/>
        <w:vanish w:val="0"/>
        <w:color w:val="auto"/>
        <w:u w:val="none"/>
        <w:effect w:val="none"/>
        <w:vertAlign w:val="baseline"/>
      </w:rPr>
    </w:lvl>
  </w:abstractNum>
  <w:abstractNum w:abstractNumId="4" w15:restartNumberingAfterBreak="0">
    <w:nsid w:val="57702A3A"/>
    <w:multiLevelType w:val="hybridMultilevel"/>
    <w:tmpl w:val="45842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031630"/>
    <w:multiLevelType w:val="hybridMultilevel"/>
    <w:tmpl w:val="6B34241A"/>
    <w:lvl w:ilvl="0" w:tplc="C5B4250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E6F0D"/>
    <w:multiLevelType w:val="hybridMultilevel"/>
    <w:tmpl w:val="EFD2F1A2"/>
    <w:lvl w:ilvl="0" w:tplc="D9760076">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278C4"/>
    <w:multiLevelType w:val="hybridMultilevel"/>
    <w:tmpl w:val="6E74B73A"/>
    <w:lvl w:ilvl="0" w:tplc="04090001">
      <w:start w:val="1"/>
      <w:numFmt w:val="bullet"/>
      <w:lvlText w:val=""/>
      <w:lvlJc w:val="left"/>
      <w:pPr>
        <w:ind w:left="1742" w:hanging="360"/>
      </w:pPr>
      <w:rPr>
        <w:rFonts w:ascii="Symbol" w:hAnsi="Symbol" w:hint="default"/>
      </w:rPr>
    </w:lvl>
    <w:lvl w:ilvl="1" w:tplc="04090003" w:tentative="1">
      <w:start w:val="1"/>
      <w:numFmt w:val="bullet"/>
      <w:lvlText w:val="o"/>
      <w:lvlJc w:val="left"/>
      <w:pPr>
        <w:ind w:left="2462" w:hanging="360"/>
      </w:pPr>
      <w:rPr>
        <w:rFonts w:ascii="Courier New" w:hAnsi="Courier New" w:cs="Courier New"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09"/>
    <w:rsid w:val="002148ED"/>
    <w:rsid w:val="009C1E09"/>
    <w:rsid w:val="00A0592C"/>
    <w:rsid w:val="00AC2E8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jc w:val="center"/>
      <w:outlineLvl w:val="0"/>
    </w:pPr>
    <w:rPr>
      <w:rFonts w:ascii="Arial" w:hAnsi="Arial"/>
      <w:b/>
      <w:snapToGrid w:val="0"/>
      <w:sz w:val="32"/>
    </w:rPr>
  </w:style>
  <w:style w:type="paragraph" w:styleId="Heading2">
    <w:name w:val="heading 2"/>
    <w:basedOn w:val="Normal"/>
    <w:next w:val="Normal"/>
    <w:qFormat/>
    <w:pPr>
      <w:keepNext/>
      <w:widowControl w:val="0"/>
      <w:outlineLvl w:val="1"/>
    </w:pPr>
    <w:rPr>
      <w:rFonts w:ascii="Arial" w:hAnsi="Arial"/>
      <w:b/>
      <w:snapToGrid w:val="0"/>
      <w:sz w:val="24"/>
      <w:u w:val="single"/>
    </w:rPr>
  </w:style>
  <w:style w:type="paragraph" w:styleId="Heading3">
    <w:name w:val="heading 3"/>
    <w:basedOn w:val="Normal"/>
    <w:next w:val="Normal"/>
    <w:qFormat/>
    <w:pPr>
      <w:keepNext/>
      <w:widowControl w:val="0"/>
      <w:ind w:left="-720" w:right="-720"/>
      <w:jc w:val="center"/>
      <w:outlineLvl w:val="2"/>
    </w:pPr>
    <w:rPr>
      <w:rFonts w:ascii="Arial" w:hAnsi="Arial"/>
      <w:b/>
      <w:snapToGrid w:val="0"/>
      <w:sz w:val="24"/>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suppressAutoHyphens/>
      <w:ind w:firstLine="720"/>
      <w:outlineLvl w:val="4"/>
    </w:pPr>
    <w:rPr>
      <w:sz w:val="24"/>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pPr>
    <w:rPr>
      <w:rFonts w:ascii="Arial" w:hAnsi="Arial"/>
      <w:snapToGrid w:val="0"/>
      <w:sz w:val="18"/>
    </w:rPr>
  </w:style>
  <w:style w:type="paragraph" w:styleId="BodyText2">
    <w:name w:val="Body Text 2"/>
    <w:basedOn w:val="Normal"/>
    <w:pPr>
      <w:widowControl w:val="0"/>
    </w:pPr>
    <w:rPr>
      <w:snapToGrid w:val="0"/>
      <w:sz w:val="24"/>
    </w:rPr>
  </w:style>
  <w:style w:type="paragraph" w:styleId="BlockText">
    <w:name w:val="Block Text"/>
    <w:basedOn w:val="Normal"/>
    <w:pPr>
      <w:ind w:left="-720" w:right="-720"/>
    </w:pPr>
    <w:rPr>
      <w:sz w:val="22"/>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customStyle="1" w:styleId="SenderName">
    <w:name w:val="SenderName"/>
    <w:basedOn w:val="Normal"/>
    <w:pPr>
      <w:keepNext/>
    </w:pPr>
    <w:rPr>
      <w:sz w:val="24"/>
    </w:rPr>
  </w:style>
  <w:style w:type="paragraph" w:customStyle="1" w:styleId="SenderPosition">
    <w:name w:val="SenderPosition"/>
    <w:basedOn w:val="Normal"/>
    <w:pPr>
      <w:keepNext/>
    </w:pPr>
    <w:rPr>
      <w:i/>
      <w:sz w:val="24"/>
    </w:rPr>
  </w:style>
  <w:style w:type="paragraph" w:styleId="BodyText3">
    <w:name w:val="Body Text 3"/>
    <w:basedOn w:val="Normal"/>
    <w:pPr>
      <w:jc w:val="both"/>
    </w:pPr>
    <w:rPr>
      <w:sz w:val="24"/>
    </w:rPr>
  </w:style>
  <w:style w:type="paragraph" w:styleId="Date">
    <w:name w:val="Date"/>
    <w:basedOn w:val="Normal"/>
    <w:next w:val="Normal"/>
  </w:style>
  <w:style w:type="paragraph" w:customStyle="1" w:styleId="MailingInstructions">
    <w:name w:val="Mailing Instructions"/>
    <w:basedOn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customStyle="1" w:styleId="SubjectLine">
    <w:name w:val="Subject Line"/>
    <w:basedOn w:val="Normal"/>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SignatureCompany">
    <w:name w:val="Signature Company"/>
    <w:basedOn w:val="Signature"/>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MacPacTrailer">
    <w:name w:val="MacPac Trailer"/>
    <w:pPr>
      <w:widowControl w:val="0"/>
      <w:spacing w:line="200" w:lineRule="exact"/>
    </w:pPr>
    <w:rPr>
      <w:sz w:val="16"/>
      <w:szCs w:val="22"/>
    </w:rPr>
  </w:style>
  <w:style w:type="paragraph" w:customStyle="1" w:styleId="StandardCont1">
    <w:name w:val="Standard Cont 1"/>
    <w:basedOn w:val="Normal"/>
    <w:link w:val="StandardCont1Char"/>
    <w:pPr>
      <w:spacing w:after="240"/>
      <w:ind w:left="720"/>
    </w:pPr>
    <w:rPr>
      <w:sz w:val="22"/>
    </w:rPr>
  </w:style>
  <w:style w:type="character" w:customStyle="1" w:styleId="StandardCont1Char">
    <w:name w:val="Standard Cont 1 Char"/>
    <w:basedOn w:val="DefaultParagraphFont"/>
    <w:link w:val="StandardCont1"/>
    <w:rPr>
      <w:sz w:val="22"/>
    </w:rPr>
  </w:style>
  <w:style w:type="paragraph" w:customStyle="1" w:styleId="StandardCont2">
    <w:name w:val="Standard Cont 2"/>
    <w:basedOn w:val="StandardCont1"/>
    <w:link w:val="StandardCont2Char"/>
    <w:pPr>
      <w:ind w:left="1440"/>
      <w:jc w:val="both"/>
    </w:pPr>
  </w:style>
  <w:style w:type="character" w:customStyle="1" w:styleId="StandardCont2Char">
    <w:name w:val="Standard Cont 2 Char"/>
    <w:basedOn w:val="DefaultParagraphFont"/>
    <w:link w:val="StandardCont2"/>
    <w:rPr>
      <w:sz w:val="22"/>
    </w:rPr>
  </w:style>
  <w:style w:type="paragraph" w:customStyle="1" w:styleId="StandardCont3">
    <w:name w:val="Standard Cont 3"/>
    <w:basedOn w:val="StandardCont2"/>
    <w:link w:val="StandardCont3Char"/>
    <w:pPr>
      <w:ind w:left="2160"/>
    </w:pPr>
  </w:style>
  <w:style w:type="character" w:customStyle="1" w:styleId="StandardCont3Char">
    <w:name w:val="Standard Cont 3 Char"/>
    <w:basedOn w:val="DefaultParagraphFont"/>
    <w:link w:val="StandardCont3"/>
    <w:rPr>
      <w:sz w:val="22"/>
    </w:rPr>
  </w:style>
  <w:style w:type="paragraph" w:customStyle="1" w:styleId="StandardCont4">
    <w:name w:val="Standard Cont 4"/>
    <w:basedOn w:val="StandardCont3"/>
    <w:link w:val="StandardCont4Char"/>
    <w:pPr>
      <w:ind w:left="2880"/>
      <w:jc w:val="left"/>
    </w:pPr>
    <w:rPr>
      <w:sz w:val="20"/>
    </w:rPr>
  </w:style>
  <w:style w:type="character" w:customStyle="1" w:styleId="StandardCont4Char">
    <w:name w:val="Standard Cont 4 Char"/>
    <w:basedOn w:val="DefaultParagraphFont"/>
    <w:link w:val="StandardCont4"/>
  </w:style>
  <w:style w:type="paragraph" w:customStyle="1" w:styleId="StandardCont5">
    <w:name w:val="Standard Cont 5"/>
    <w:basedOn w:val="StandardCont4"/>
    <w:link w:val="StandardCont5Char"/>
    <w:pPr>
      <w:ind w:left="3600"/>
    </w:pPr>
  </w:style>
  <w:style w:type="character" w:customStyle="1" w:styleId="StandardCont5Char">
    <w:name w:val="Standard Cont 5 Char"/>
    <w:basedOn w:val="DefaultParagraphFont"/>
    <w:link w:val="StandardCont5"/>
  </w:style>
  <w:style w:type="paragraph" w:customStyle="1" w:styleId="StandardCont6">
    <w:name w:val="Standard Cont 6"/>
    <w:basedOn w:val="StandardCont5"/>
    <w:link w:val="StandardCont6Char"/>
    <w:pPr>
      <w:ind w:left="4320"/>
    </w:pPr>
  </w:style>
  <w:style w:type="character" w:customStyle="1" w:styleId="StandardCont6Char">
    <w:name w:val="Standard Cont 6 Char"/>
    <w:basedOn w:val="DefaultParagraphFont"/>
    <w:link w:val="StandardCont6"/>
  </w:style>
  <w:style w:type="paragraph" w:customStyle="1" w:styleId="StandardCont7">
    <w:name w:val="Standard Cont 7"/>
    <w:basedOn w:val="StandardCont6"/>
    <w:link w:val="StandardCont7Char"/>
    <w:pPr>
      <w:ind w:left="5040"/>
    </w:pPr>
  </w:style>
  <w:style w:type="character" w:customStyle="1" w:styleId="StandardCont7Char">
    <w:name w:val="Standard Cont 7 Char"/>
    <w:basedOn w:val="DefaultParagraphFont"/>
    <w:link w:val="StandardCont7"/>
  </w:style>
  <w:style w:type="paragraph" w:customStyle="1" w:styleId="StandardCont8">
    <w:name w:val="Standard Cont 8"/>
    <w:basedOn w:val="StandardCont7"/>
    <w:link w:val="StandardCont8Char"/>
    <w:pPr>
      <w:ind w:left="5760"/>
    </w:pPr>
  </w:style>
  <w:style w:type="character" w:customStyle="1" w:styleId="StandardCont8Char">
    <w:name w:val="Standard Cont 8 Char"/>
    <w:basedOn w:val="DefaultParagraphFont"/>
    <w:link w:val="StandardCont8"/>
  </w:style>
  <w:style w:type="paragraph" w:customStyle="1" w:styleId="StandardCont9">
    <w:name w:val="Standard Cont 9"/>
    <w:basedOn w:val="StandardCont8"/>
    <w:link w:val="StandardCont9Char"/>
    <w:pPr>
      <w:ind w:left="6480"/>
    </w:pPr>
  </w:style>
  <w:style w:type="character" w:customStyle="1" w:styleId="StandardCont9Char">
    <w:name w:val="Standard Cont 9 Char"/>
    <w:basedOn w:val="DefaultParagraphFont"/>
    <w:link w:val="StandardCont9"/>
  </w:style>
  <w:style w:type="paragraph" w:customStyle="1" w:styleId="StandardL1">
    <w:name w:val="Standard_L1"/>
    <w:basedOn w:val="Normal"/>
    <w:link w:val="StandardL1Char"/>
    <w:pPr>
      <w:numPr>
        <w:numId w:val="1"/>
      </w:numPr>
      <w:spacing w:after="240"/>
      <w:jc w:val="both"/>
      <w:outlineLvl w:val="0"/>
    </w:pPr>
    <w:rPr>
      <w:sz w:val="22"/>
    </w:rPr>
  </w:style>
  <w:style w:type="character" w:customStyle="1" w:styleId="StandardL1Char">
    <w:name w:val="Standard_L1 Char"/>
    <w:basedOn w:val="DefaultParagraphFont"/>
    <w:link w:val="StandardL1"/>
    <w:rPr>
      <w:sz w:val="22"/>
    </w:rPr>
  </w:style>
  <w:style w:type="paragraph" w:customStyle="1" w:styleId="StandardL2">
    <w:name w:val="Standard_L2"/>
    <w:basedOn w:val="StandardL1"/>
    <w:link w:val="StandardL2Char"/>
    <w:pPr>
      <w:numPr>
        <w:ilvl w:val="1"/>
      </w:numPr>
      <w:outlineLvl w:val="1"/>
    </w:pPr>
  </w:style>
  <w:style w:type="character" w:customStyle="1" w:styleId="StandardL2Char">
    <w:name w:val="Standard_L2 Char"/>
    <w:basedOn w:val="DefaultParagraphFont"/>
    <w:link w:val="StandardL2"/>
    <w:rPr>
      <w:sz w:val="22"/>
    </w:rPr>
  </w:style>
  <w:style w:type="paragraph" w:customStyle="1" w:styleId="StandardL3">
    <w:name w:val="Standard_L3"/>
    <w:basedOn w:val="StandardL2"/>
    <w:link w:val="StandardL3Char"/>
    <w:pPr>
      <w:numPr>
        <w:ilvl w:val="2"/>
      </w:numPr>
      <w:outlineLvl w:val="2"/>
    </w:pPr>
  </w:style>
  <w:style w:type="character" w:customStyle="1" w:styleId="StandardL3Char">
    <w:name w:val="Standard_L3 Char"/>
    <w:basedOn w:val="DefaultParagraphFont"/>
    <w:link w:val="StandardL3"/>
    <w:rPr>
      <w:sz w:val="22"/>
    </w:rPr>
  </w:style>
  <w:style w:type="paragraph" w:customStyle="1" w:styleId="StandardL4">
    <w:name w:val="Standard_L4"/>
    <w:basedOn w:val="StandardL3"/>
    <w:link w:val="StandardL4Char"/>
    <w:pPr>
      <w:numPr>
        <w:ilvl w:val="3"/>
      </w:numPr>
      <w:jc w:val="left"/>
      <w:outlineLvl w:val="3"/>
    </w:pPr>
    <w:rPr>
      <w:sz w:val="20"/>
    </w:rPr>
  </w:style>
  <w:style w:type="character" w:customStyle="1" w:styleId="StandardL4Char">
    <w:name w:val="Standard_L4 Char"/>
    <w:basedOn w:val="DefaultParagraphFont"/>
    <w:link w:val="StandardL4"/>
  </w:style>
  <w:style w:type="paragraph" w:customStyle="1" w:styleId="StandardL5">
    <w:name w:val="Standard_L5"/>
    <w:basedOn w:val="StandardL4"/>
    <w:link w:val="StandardL5Char"/>
    <w:pPr>
      <w:numPr>
        <w:ilvl w:val="4"/>
      </w:numPr>
      <w:outlineLvl w:val="4"/>
    </w:pPr>
  </w:style>
  <w:style w:type="character" w:customStyle="1" w:styleId="StandardL5Char">
    <w:name w:val="Standard_L5 Char"/>
    <w:basedOn w:val="DefaultParagraphFont"/>
    <w:link w:val="StandardL5"/>
  </w:style>
  <w:style w:type="paragraph" w:customStyle="1" w:styleId="StandardL6">
    <w:name w:val="Standard_L6"/>
    <w:basedOn w:val="StandardL5"/>
    <w:link w:val="StandardL6Char"/>
    <w:pPr>
      <w:numPr>
        <w:ilvl w:val="5"/>
      </w:numPr>
      <w:outlineLvl w:val="5"/>
    </w:pPr>
  </w:style>
  <w:style w:type="character" w:customStyle="1" w:styleId="StandardL6Char">
    <w:name w:val="Standard_L6 Char"/>
    <w:basedOn w:val="DefaultParagraphFont"/>
    <w:link w:val="StandardL6"/>
  </w:style>
  <w:style w:type="paragraph" w:customStyle="1" w:styleId="StandardL7">
    <w:name w:val="Standard_L7"/>
    <w:basedOn w:val="StandardL6"/>
    <w:link w:val="StandardL7Char"/>
    <w:pPr>
      <w:numPr>
        <w:ilvl w:val="6"/>
      </w:numPr>
      <w:outlineLvl w:val="6"/>
    </w:pPr>
  </w:style>
  <w:style w:type="character" w:customStyle="1" w:styleId="StandardL7Char">
    <w:name w:val="Standard_L7 Char"/>
    <w:basedOn w:val="DefaultParagraphFont"/>
    <w:link w:val="StandardL7"/>
  </w:style>
  <w:style w:type="paragraph" w:customStyle="1" w:styleId="StandardL8">
    <w:name w:val="Standard_L8"/>
    <w:basedOn w:val="StandardL7"/>
    <w:link w:val="StandardL8Char"/>
    <w:pPr>
      <w:numPr>
        <w:ilvl w:val="7"/>
      </w:numPr>
      <w:outlineLvl w:val="7"/>
    </w:pPr>
  </w:style>
  <w:style w:type="character" w:customStyle="1" w:styleId="StandardL8Char">
    <w:name w:val="Standard_L8 Char"/>
    <w:basedOn w:val="DefaultParagraphFont"/>
    <w:link w:val="StandardL8"/>
  </w:style>
  <w:style w:type="paragraph" w:customStyle="1" w:styleId="StandardL9">
    <w:name w:val="Standard_L9"/>
    <w:basedOn w:val="StandardL8"/>
    <w:link w:val="StandardL9Char"/>
    <w:pPr>
      <w:numPr>
        <w:ilvl w:val="8"/>
      </w:numPr>
      <w:outlineLvl w:val="8"/>
    </w:pPr>
  </w:style>
  <w:style w:type="character" w:customStyle="1" w:styleId="StandardL9Char">
    <w:name w:val="Standard_L9 Char"/>
    <w:basedOn w:val="DefaultParagraphFont"/>
    <w:link w:val="StandardL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odyTextFirstIndent">
    <w:name w:val="Body Text First Indent"/>
    <w:basedOn w:val="BodyText"/>
    <w:link w:val="BodyTextFirstIndentChar"/>
    <w:pPr>
      <w:widowControl/>
      <w:ind w:firstLine="360"/>
    </w:pPr>
    <w:rPr>
      <w:rFonts w:ascii="Times New Roman" w:hAnsi="Times New Roman"/>
      <w:snapToGrid/>
      <w:sz w:val="20"/>
    </w:rPr>
  </w:style>
  <w:style w:type="character" w:customStyle="1" w:styleId="BodyTextChar">
    <w:name w:val="Body Text Char"/>
    <w:basedOn w:val="DefaultParagraphFont"/>
    <w:link w:val="BodyText"/>
    <w:rPr>
      <w:rFonts w:ascii="Arial" w:hAnsi="Arial"/>
      <w:snapToGrid w:val="0"/>
      <w:sz w:val="18"/>
    </w:rPr>
  </w:style>
  <w:style w:type="character" w:customStyle="1" w:styleId="BodyTextFirstIndentChar">
    <w:name w:val="Body Text First Indent Char"/>
    <w:basedOn w:val="BodyTextChar"/>
    <w:link w:val="BodyTextFirstIndent"/>
    <w:rPr>
      <w:rFonts w:ascii="Arial" w:hAnsi="Arial"/>
      <w:snapToGrid/>
      <w:sz w:val="18"/>
    </w:rPr>
  </w:style>
  <w:style w:type="table" w:styleId="TableGrid">
    <w:name w:val="Table Grid"/>
    <w:basedOn w:val="TableNormal"/>
    <w:uiPriority w:val="59"/>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qFormat/>
    <w:pPr>
      <w:widowControl/>
      <w:numPr>
        <w:numId w:val="5"/>
      </w:numPr>
      <w:spacing w:after="240"/>
      <w:jc w:val="both"/>
    </w:pPr>
    <w:rPr>
      <w:rFonts w:ascii="Times New Roman" w:hAnsi="Times New Roman"/>
      <w:snapToGrid/>
      <w:sz w:val="20"/>
      <w:szCs w:val="24"/>
    </w:rPr>
  </w:style>
  <w:style w:type="paragraph" w:styleId="NoteHeading">
    <w:name w:val="Note Heading"/>
    <w:basedOn w:val="Normal"/>
    <w:next w:val="Normal"/>
    <w:link w:val="NoteHeadingChar"/>
    <w:pPr>
      <w:keepNext/>
      <w:pBdr>
        <w:top w:val="single" w:sz="4" w:space="1" w:color="auto"/>
      </w:pBdr>
      <w:spacing w:before="60" w:after="120"/>
      <w:ind w:right="8640"/>
      <w:jc w:val="both"/>
    </w:pPr>
    <w:rPr>
      <w:rFonts w:ascii="Times New Roman Bold" w:eastAsia="Calibri" w:hAnsi="Times New Roman Bold" w:cs="Arial"/>
      <w:b/>
      <w:sz w:val="16"/>
      <w:szCs w:val="24"/>
    </w:rPr>
  </w:style>
  <w:style w:type="character" w:customStyle="1" w:styleId="NoteHeadingChar">
    <w:name w:val="Note Heading Char"/>
    <w:basedOn w:val="DefaultParagraphFont"/>
    <w:link w:val="NoteHeading"/>
    <w:rPr>
      <w:rFonts w:ascii="Times New Roman Bold" w:eastAsia="Calibri" w:hAnsi="Times New Roman Bold" w:cs="Arial"/>
      <w:b/>
      <w:sz w:val="16"/>
      <w:szCs w:val="24"/>
    </w:rPr>
  </w:style>
  <w:style w:type="paragraph" w:customStyle="1" w:styleId="NoteText">
    <w:name w:val="Note Text"/>
    <w:basedOn w:val="BodyTextFirstIndent"/>
    <w:qFormat/>
    <w:pPr>
      <w:spacing w:after="240"/>
      <w:ind w:left="360" w:hanging="360"/>
      <w:contextualSpacing/>
      <w:jc w:val="both"/>
    </w:pPr>
    <w:rPr>
      <w:sz w:val="16"/>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val="en-CA"/>
    </w:rPr>
  </w:style>
  <w:style w:type="paragraph" w:styleId="FootnoteText">
    <w:name w:val="footnote text"/>
    <w:basedOn w:val="Normal"/>
    <w:link w:val="FootnoteTextChar"/>
    <w:uiPriority w:val="99"/>
    <w:semiHidden/>
    <w:unhideWhenUsed/>
    <w:pPr>
      <w:ind w:left="720" w:hanging="720"/>
      <w:jc w:val="both"/>
    </w:pPr>
    <w:rPr>
      <w:rFonts w:eastAsiaTheme="minorHAnsi" w:cstheme="minorBidi"/>
      <w:sz w:val="16"/>
    </w:rPr>
  </w:style>
  <w:style w:type="character" w:customStyle="1" w:styleId="FootnoteTextChar">
    <w:name w:val="Footnote Text Char"/>
    <w:basedOn w:val="DefaultParagraphFont"/>
    <w:link w:val="FootnoteText"/>
    <w:uiPriority w:val="99"/>
    <w:semiHidden/>
    <w:rPr>
      <w:rFonts w:eastAsiaTheme="minorHAnsi" w:cstheme="minorBidi"/>
      <w:sz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0130">
      <w:bodyDiv w:val="1"/>
      <w:marLeft w:val="0"/>
      <w:marRight w:val="0"/>
      <w:marTop w:val="0"/>
      <w:marBottom w:val="0"/>
      <w:divBdr>
        <w:top w:val="none" w:sz="0" w:space="0" w:color="auto"/>
        <w:left w:val="none" w:sz="0" w:space="0" w:color="auto"/>
        <w:bottom w:val="none" w:sz="0" w:space="0" w:color="auto"/>
        <w:right w:val="none" w:sz="0" w:space="0" w:color="auto"/>
      </w:divBdr>
      <w:divsChild>
        <w:div w:id="1943410479">
          <w:marLeft w:val="0"/>
          <w:marRight w:val="0"/>
          <w:marTop w:val="0"/>
          <w:marBottom w:val="0"/>
          <w:divBdr>
            <w:top w:val="none" w:sz="0" w:space="0" w:color="auto"/>
            <w:left w:val="none" w:sz="0" w:space="0" w:color="auto"/>
            <w:bottom w:val="none" w:sz="0" w:space="0" w:color="auto"/>
            <w:right w:val="none" w:sz="0" w:space="0" w:color="auto"/>
          </w:divBdr>
          <w:divsChild>
            <w:div w:id="243684568">
              <w:marLeft w:val="0"/>
              <w:marRight w:val="0"/>
              <w:marTop w:val="0"/>
              <w:marBottom w:val="0"/>
              <w:divBdr>
                <w:top w:val="none" w:sz="0" w:space="0" w:color="auto"/>
                <w:left w:val="none" w:sz="0" w:space="0" w:color="auto"/>
                <w:bottom w:val="none" w:sz="0" w:space="0" w:color="auto"/>
                <w:right w:val="none" w:sz="0" w:space="0" w:color="auto"/>
              </w:divBdr>
              <w:divsChild>
                <w:div w:id="869537227">
                  <w:marLeft w:val="0"/>
                  <w:marRight w:val="0"/>
                  <w:marTop w:val="0"/>
                  <w:marBottom w:val="0"/>
                  <w:divBdr>
                    <w:top w:val="none" w:sz="0" w:space="0" w:color="auto"/>
                    <w:left w:val="none" w:sz="0" w:space="0" w:color="auto"/>
                    <w:bottom w:val="none" w:sz="0" w:space="0" w:color="auto"/>
                    <w:right w:val="none" w:sz="0" w:space="0" w:color="auto"/>
                  </w:divBdr>
                  <w:divsChild>
                    <w:div w:id="1887795153">
                      <w:marLeft w:val="0"/>
                      <w:marRight w:val="0"/>
                      <w:marTop w:val="0"/>
                      <w:marBottom w:val="0"/>
                      <w:divBdr>
                        <w:top w:val="none" w:sz="0" w:space="0" w:color="auto"/>
                        <w:left w:val="none" w:sz="0" w:space="0" w:color="auto"/>
                        <w:bottom w:val="none" w:sz="0" w:space="0" w:color="auto"/>
                        <w:right w:val="none" w:sz="0" w:space="0" w:color="auto"/>
                      </w:divBdr>
                      <w:divsChild>
                        <w:div w:id="1803229182">
                          <w:marLeft w:val="0"/>
                          <w:marRight w:val="0"/>
                          <w:marTop w:val="0"/>
                          <w:marBottom w:val="0"/>
                          <w:divBdr>
                            <w:top w:val="none" w:sz="0" w:space="0" w:color="auto"/>
                            <w:left w:val="none" w:sz="0" w:space="0" w:color="auto"/>
                            <w:bottom w:val="none" w:sz="0" w:space="0" w:color="auto"/>
                            <w:right w:val="none" w:sz="0" w:space="0" w:color="auto"/>
                          </w:divBdr>
                          <w:divsChild>
                            <w:div w:id="138890895">
                              <w:marLeft w:val="0"/>
                              <w:marRight w:val="0"/>
                              <w:marTop w:val="0"/>
                              <w:marBottom w:val="0"/>
                              <w:divBdr>
                                <w:top w:val="none" w:sz="0" w:space="0" w:color="auto"/>
                                <w:left w:val="none" w:sz="0" w:space="0" w:color="auto"/>
                                <w:bottom w:val="none" w:sz="0" w:space="0" w:color="auto"/>
                                <w:right w:val="none" w:sz="0" w:space="0" w:color="auto"/>
                              </w:divBdr>
                              <w:divsChild>
                                <w:div w:id="1200314815">
                                  <w:marLeft w:val="-225"/>
                                  <w:marRight w:val="-225"/>
                                  <w:marTop w:val="0"/>
                                  <w:marBottom w:val="0"/>
                                  <w:divBdr>
                                    <w:top w:val="none" w:sz="0" w:space="0" w:color="auto"/>
                                    <w:left w:val="none" w:sz="0" w:space="0" w:color="auto"/>
                                    <w:bottom w:val="none" w:sz="0" w:space="0" w:color="auto"/>
                                    <w:right w:val="none" w:sz="0" w:space="0" w:color="auto"/>
                                  </w:divBdr>
                                  <w:divsChild>
                                    <w:div w:id="1459758358">
                                      <w:marLeft w:val="0"/>
                                      <w:marRight w:val="0"/>
                                      <w:marTop w:val="0"/>
                                      <w:marBottom w:val="0"/>
                                      <w:divBdr>
                                        <w:top w:val="none" w:sz="0" w:space="0" w:color="auto"/>
                                        <w:left w:val="none" w:sz="0" w:space="0" w:color="auto"/>
                                        <w:bottom w:val="none" w:sz="0" w:space="0" w:color="auto"/>
                                        <w:right w:val="none" w:sz="0" w:space="0" w:color="auto"/>
                                      </w:divBdr>
                                      <w:divsChild>
                                        <w:div w:id="584194075">
                                          <w:marLeft w:val="0"/>
                                          <w:marRight w:val="0"/>
                                          <w:marTop w:val="1200"/>
                                          <w:marBottom w:val="375"/>
                                          <w:divBdr>
                                            <w:top w:val="single" w:sz="36" w:space="0" w:color="F6F6F6"/>
                                            <w:left w:val="none" w:sz="0" w:space="0" w:color="auto"/>
                                            <w:bottom w:val="none" w:sz="0" w:space="0" w:color="auto"/>
                                            <w:right w:val="none" w:sz="0" w:space="0" w:color="auto"/>
                                          </w:divBdr>
                                          <w:divsChild>
                                            <w:div w:id="159855170">
                                              <w:marLeft w:val="-225"/>
                                              <w:marRight w:val="-225"/>
                                              <w:marTop w:val="0"/>
                                              <w:marBottom w:val="0"/>
                                              <w:divBdr>
                                                <w:top w:val="none" w:sz="0" w:space="0" w:color="auto"/>
                                                <w:left w:val="none" w:sz="0" w:space="0" w:color="auto"/>
                                                <w:bottom w:val="none" w:sz="0" w:space="0" w:color="auto"/>
                                                <w:right w:val="none" w:sz="0" w:space="0" w:color="auto"/>
                                              </w:divBdr>
                                              <w:divsChild>
                                                <w:div w:id="389428308">
                                                  <w:marLeft w:val="0"/>
                                                  <w:marRight w:val="0"/>
                                                  <w:marTop w:val="0"/>
                                                  <w:marBottom w:val="0"/>
                                                  <w:divBdr>
                                                    <w:top w:val="none" w:sz="0" w:space="0" w:color="auto"/>
                                                    <w:left w:val="none" w:sz="0" w:space="0" w:color="auto"/>
                                                    <w:bottom w:val="none" w:sz="0" w:space="0" w:color="auto"/>
                                                    <w:right w:val="none" w:sz="0" w:space="0" w:color="auto"/>
                                                  </w:divBdr>
                                                  <w:divsChild>
                                                    <w:div w:id="20423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664914">
      <w:bodyDiv w:val="1"/>
      <w:marLeft w:val="0"/>
      <w:marRight w:val="0"/>
      <w:marTop w:val="0"/>
      <w:marBottom w:val="0"/>
      <w:divBdr>
        <w:top w:val="none" w:sz="0" w:space="0" w:color="auto"/>
        <w:left w:val="none" w:sz="0" w:space="0" w:color="auto"/>
        <w:bottom w:val="none" w:sz="0" w:space="0" w:color="auto"/>
        <w:right w:val="none" w:sz="0" w:space="0" w:color="auto"/>
      </w:divBdr>
    </w:div>
    <w:div w:id="389689155">
      <w:bodyDiv w:val="1"/>
      <w:marLeft w:val="0"/>
      <w:marRight w:val="0"/>
      <w:marTop w:val="0"/>
      <w:marBottom w:val="0"/>
      <w:divBdr>
        <w:top w:val="none" w:sz="0" w:space="0" w:color="auto"/>
        <w:left w:val="none" w:sz="0" w:space="0" w:color="auto"/>
        <w:bottom w:val="none" w:sz="0" w:space="0" w:color="auto"/>
        <w:right w:val="none" w:sz="0" w:space="0" w:color="auto"/>
      </w:divBdr>
    </w:div>
    <w:div w:id="1063139389">
      <w:bodyDiv w:val="1"/>
      <w:marLeft w:val="0"/>
      <w:marRight w:val="0"/>
      <w:marTop w:val="0"/>
      <w:marBottom w:val="0"/>
      <w:divBdr>
        <w:top w:val="none" w:sz="0" w:space="0" w:color="auto"/>
        <w:left w:val="none" w:sz="0" w:space="0" w:color="auto"/>
        <w:bottom w:val="none" w:sz="0" w:space="0" w:color="auto"/>
        <w:right w:val="none" w:sz="0" w:space="0" w:color="auto"/>
      </w:divBdr>
    </w:div>
    <w:div w:id="1211380703">
      <w:bodyDiv w:val="1"/>
      <w:marLeft w:val="0"/>
      <w:marRight w:val="0"/>
      <w:marTop w:val="0"/>
      <w:marBottom w:val="0"/>
      <w:divBdr>
        <w:top w:val="none" w:sz="0" w:space="0" w:color="auto"/>
        <w:left w:val="none" w:sz="0" w:space="0" w:color="auto"/>
        <w:bottom w:val="none" w:sz="0" w:space="0" w:color="auto"/>
        <w:right w:val="none" w:sz="0" w:space="0" w:color="auto"/>
      </w:divBdr>
      <w:divsChild>
        <w:div w:id="514881993">
          <w:marLeft w:val="0"/>
          <w:marRight w:val="0"/>
          <w:marTop w:val="0"/>
          <w:marBottom w:val="0"/>
          <w:divBdr>
            <w:top w:val="none" w:sz="0" w:space="0" w:color="auto"/>
            <w:left w:val="none" w:sz="0" w:space="0" w:color="auto"/>
            <w:bottom w:val="none" w:sz="0" w:space="0" w:color="auto"/>
            <w:right w:val="none" w:sz="0" w:space="0" w:color="auto"/>
          </w:divBdr>
          <w:divsChild>
            <w:div w:id="1970278542">
              <w:marLeft w:val="0"/>
              <w:marRight w:val="0"/>
              <w:marTop w:val="0"/>
              <w:marBottom w:val="0"/>
              <w:divBdr>
                <w:top w:val="none" w:sz="0" w:space="0" w:color="auto"/>
                <w:left w:val="none" w:sz="0" w:space="0" w:color="auto"/>
                <w:bottom w:val="none" w:sz="0" w:space="0" w:color="auto"/>
                <w:right w:val="none" w:sz="0" w:space="0" w:color="auto"/>
              </w:divBdr>
              <w:divsChild>
                <w:div w:id="384061909">
                  <w:marLeft w:val="0"/>
                  <w:marRight w:val="0"/>
                  <w:marTop w:val="0"/>
                  <w:marBottom w:val="0"/>
                  <w:divBdr>
                    <w:top w:val="none" w:sz="0" w:space="0" w:color="auto"/>
                    <w:left w:val="none" w:sz="0" w:space="0" w:color="auto"/>
                    <w:bottom w:val="none" w:sz="0" w:space="0" w:color="auto"/>
                    <w:right w:val="none" w:sz="0" w:space="0" w:color="auto"/>
                  </w:divBdr>
                  <w:divsChild>
                    <w:div w:id="530724722">
                      <w:marLeft w:val="0"/>
                      <w:marRight w:val="0"/>
                      <w:marTop w:val="0"/>
                      <w:marBottom w:val="0"/>
                      <w:divBdr>
                        <w:top w:val="none" w:sz="0" w:space="0" w:color="auto"/>
                        <w:left w:val="none" w:sz="0" w:space="0" w:color="auto"/>
                        <w:bottom w:val="none" w:sz="0" w:space="0" w:color="auto"/>
                        <w:right w:val="none" w:sz="0" w:space="0" w:color="auto"/>
                      </w:divBdr>
                      <w:divsChild>
                        <w:div w:id="17652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090977">
      <w:bodyDiv w:val="1"/>
      <w:marLeft w:val="0"/>
      <w:marRight w:val="0"/>
      <w:marTop w:val="0"/>
      <w:marBottom w:val="0"/>
      <w:divBdr>
        <w:top w:val="none" w:sz="0" w:space="0" w:color="auto"/>
        <w:left w:val="none" w:sz="0" w:space="0" w:color="auto"/>
        <w:bottom w:val="none" w:sz="0" w:space="0" w:color="auto"/>
        <w:right w:val="none" w:sz="0" w:space="0" w:color="auto"/>
      </w:divBdr>
    </w:div>
    <w:div w:id="1582376680">
      <w:bodyDiv w:val="1"/>
      <w:marLeft w:val="0"/>
      <w:marRight w:val="0"/>
      <w:marTop w:val="0"/>
      <w:marBottom w:val="0"/>
      <w:divBdr>
        <w:top w:val="none" w:sz="0" w:space="0" w:color="auto"/>
        <w:left w:val="none" w:sz="0" w:space="0" w:color="auto"/>
        <w:bottom w:val="none" w:sz="0" w:space="0" w:color="auto"/>
        <w:right w:val="none" w:sz="0" w:space="0" w:color="auto"/>
      </w:divBdr>
    </w:div>
    <w:div w:id="161444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24BE-3C99-4BF6-BBA0-73CA44D6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2155</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14200</CharactersWithSpaces>
  <SharedDoc>false</SharedDoc>
  <HLinks>
    <vt:vector size="6" baseType="variant">
      <vt:variant>
        <vt:i4>7209078</vt:i4>
      </vt:variant>
      <vt:variant>
        <vt:i4>0</vt:i4>
      </vt:variant>
      <vt:variant>
        <vt:i4>0</vt:i4>
      </vt:variant>
      <vt:variant>
        <vt:i4>5</vt:i4>
      </vt:variant>
      <vt:variant>
        <vt:lpwstr>http://www.totalenergy.ca/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2017-04-07T21:27:00Z</dcterms:created>
  <dcterms:modified xsi:type="dcterms:W3CDTF">2017-04-07T21:31:00Z</dcterms:modified>
</cp:coreProperties>
</file>